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4A0" w:firstRow="1" w:lastRow="0" w:firstColumn="1" w:lastColumn="0" w:noHBand="0" w:noVBand="1"/>
      </w:tblPr>
      <w:tblGrid>
        <w:gridCol w:w="34"/>
        <w:gridCol w:w="817"/>
        <w:gridCol w:w="1451"/>
        <w:gridCol w:w="267"/>
        <w:gridCol w:w="6929"/>
      </w:tblGrid>
      <w:tr w:rsidR="00C92729" w:rsidRPr="00575235" w14:paraId="22783772" w14:textId="77777777" w:rsidTr="00801432">
        <w:tc>
          <w:tcPr>
            <w:tcW w:w="2569" w:type="dxa"/>
            <w:gridSpan w:val="4"/>
            <w:shd w:val="clear" w:color="auto" w:fill="auto"/>
          </w:tcPr>
          <w:p w14:paraId="6634FFCF" w14:textId="77777777" w:rsidR="00F445B1" w:rsidRPr="00BA3305" w:rsidRDefault="00F445B1" w:rsidP="00BA3305">
            <w:pPr>
              <w:tabs>
                <w:tab w:val="left" w:pos="8647"/>
              </w:tabs>
              <w:ind w:left="426" w:right="1076" w:hanging="426"/>
              <w:rPr>
                <w:rStyle w:val="Firstpagetablebold"/>
                <w:rFonts w:cs="Arial"/>
                <w:color w:val="auto"/>
              </w:rPr>
            </w:pPr>
            <w:r w:rsidRPr="00BA3305">
              <w:rPr>
                <w:rStyle w:val="Firstpagetablebold"/>
                <w:rFonts w:cs="Arial"/>
                <w:color w:val="auto"/>
              </w:rPr>
              <w:t>To</w:t>
            </w:r>
            <w:r w:rsidR="005C35A5" w:rsidRPr="00BA3305">
              <w:rPr>
                <w:rStyle w:val="Firstpagetablebold"/>
                <w:rFonts w:cs="Arial"/>
                <w:color w:val="auto"/>
              </w:rPr>
              <w:t>:</w:t>
            </w:r>
          </w:p>
        </w:tc>
        <w:tc>
          <w:tcPr>
            <w:tcW w:w="6929" w:type="dxa"/>
            <w:shd w:val="clear" w:color="auto" w:fill="auto"/>
          </w:tcPr>
          <w:p w14:paraId="1A46A016" w14:textId="77777777" w:rsidR="00F445B1" w:rsidRPr="00575235" w:rsidRDefault="00810F45" w:rsidP="00801432">
            <w:pPr>
              <w:tabs>
                <w:tab w:val="left" w:pos="8647"/>
              </w:tabs>
              <w:ind w:right="1076"/>
              <w:rPr>
                <w:rStyle w:val="Firstpagetablebold"/>
                <w:rFonts w:cs="Arial"/>
                <w:color w:val="auto"/>
              </w:rPr>
            </w:pPr>
            <w:r>
              <w:rPr>
                <w:rStyle w:val="Firstpagetablebold"/>
                <w:rFonts w:cs="Arial"/>
                <w:color w:val="auto"/>
              </w:rPr>
              <w:t>Shareholder and Joint Venture Group</w:t>
            </w:r>
          </w:p>
        </w:tc>
      </w:tr>
      <w:tr w:rsidR="00C92729" w:rsidRPr="00575235" w14:paraId="0A67D9E8" w14:textId="77777777" w:rsidTr="00801432">
        <w:tc>
          <w:tcPr>
            <w:tcW w:w="2569" w:type="dxa"/>
            <w:gridSpan w:val="4"/>
            <w:shd w:val="clear" w:color="auto" w:fill="auto"/>
          </w:tcPr>
          <w:p w14:paraId="78F3E6E1"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929" w:type="dxa"/>
            <w:shd w:val="clear" w:color="auto" w:fill="auto"/>
          </w:tcPr>
          <w:p w14:paraId="3FED371B" w14:textId="0F03BB62" w:rsidR="00F445B1" w:rsidRPr="00575235" w:rsidRDefault="000A6DE2" w:rsidP="00C65134">
            <w:pPr>
              <w:tabs>
                <w:tab w:val="left" w:pos="8647"/>
              </w:tabs>
              <w:ind w:right="1076"/>
              <w:rPr>
                <w:rFonts w:cs="Arial"/>
                <w:b/>
                <w:color w:val="auto"/>
              </w:rPr>
            </w:pPr>
            <w:r>
              <w:rPr>
                <w:rFonts w:cs="Arial"/>
                <w:b/>
                <w:color w:val="auto"/>
              </w:rPr>
              <w:t>2</w:t>
            </w:r>
            <w:r w:rsidR="00EF6A6D">
              <w:rPr>
                <w:rFonts w:cs="Arial"/>
                <w:b/>
                <w:color w:val="auto"/>
              </w:rPr>
              <w:t xml:space="preserve">1 </w:t>
            </w:r>
            <w:r>
              <w:rPr>
                <w:rFonts w:cs="Arial"/>
                <w:b/>
                <w:color w:val="auto"/>
              </w:rPr>
              <w:t xml:space="preserve">June </w:t>
            </w:r>
            <w:r w:rsidR="00EF6A6D">
              <w:rPr>
                <w:rFonts w:cs="Arial"/>
                <w:b/>
                <w:color w:val="auto"/>
              </w:rPr>
              <w:t>2023</w:t>
            </w:r>
          </w:p>
        </w:tc>
      </w:tr>
      <w:tr w:rsidR="00C92729" w:rsidRPr="00575235" w14:paraId="79B41C97" w14:textId="77777777" w:rsidTr="00801432">
        <w:tc>
          <w:tcPr>
            <w:tcW w:w="2569" w:type="dxa"/>
            <w:gridSpan w:val="4"/>
            <w:shd w:val="clear" w:color="auto" w:fill="auto"/>
          </w:tcPr>
          <w:p w14:paraId="4D1F5D9E"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929" w:type="dxa"/>
            <w:shd w:val="clear" w:color="auto" w:fill="auto"/>
          </w:tcPr>
          <w:p w14:paraId="4757430D" w14:textId="77777777" w:rsidR="00F445B1" w:rsidRPr="00575235" w:rsidRDefault="00AE49A8" w:rsidP="00CA78B8">
            <w:pPr>
              <w:tabs>
                <w:tab w:val="left" w:pos="8647"/>
              </w:tabs>
              <w:ind w:right="1076"/>
              <w:rPr>
                <w:rStyle w:val="Firstpagetablebold"/>
                <w:rFonts w:cs="Arial"/>
                <w:color w:val="auto"/>
              </w:rPr>
            </w:pPr>
            <w:r>
              <w:rPr>
                <w:rStyle w:val="Firstpagetablebold"/>
                <w:rFonts w:cs="Arial"/>
                <w:color w:val="auto"/>
              </w:rPr>
              <w:t>Sarah Knight, Head of Development</w:t>
            </w:r>
            <w:r w:rsidR="00C0652D" w:rsidRPr="00575235">
              <w:rPr>
                <w:rStyle w:val="Firstpagetablebold"/>
                <w:rFonts w:cs="Arial"/>
                <w:color w:val="auto"/>
              </w:rPr>
              <w:t xml:space="preserve"> </w:t>
            </w:r>
          </w:p>
        </w:tc>
      </w:tr>
      <w:tr w:rsidR="00C92729" w:rsidRPr="00575235" w14:paraId="368C73D6" w14:textId="77777777" w:rsidTr="00801432">
        <w:tc>
          <w:tcPr>
            <w:tcW w:w="2569" w:type="dxa"/>
            <w:gridSpan w:val="4"/>
            <w:shd w:val="clear" w:color="auto" w:fill="auto"/>
          </w:tcPr>
          <w:p w14:paraId="0DB9C904"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929" w:type="dxa"/>
            <w:shd w:val="clear" w:color="auto" w:fill="auto"/>
          </w:tcPr>
          <w:p w14:paraId="2B61512E" w14:textId="77777777"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 xml:space="preserve">ting to Barton </w:t>
            </w:r>
            <w:r w:rsidR="00CA78B8">
              <w:rPr>
                <w:rStyle w:val="Firstpagetablebold"/>
                <w:rFonts w:cs="Arial"/>
                <w:color w:val="auto"/>
              </w:rPr>
              <w:t>Oxford LLP</w:t>
            </w:r>
          </w:p>
          <w:p w14:paraId="4F742A6D" w14:textId="77777777"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14:paraId="75368A4F"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445"/>
        </w:trPr>
        <w:tc>
          <w:tcPr>
            <w:tcW w:w="9464" w:type="dxa"/>
            <w:gridSpan w:val="4"/>
            <w:tcBorders>
              <w:bottom w:val="single" w:sz="8" w:space="0" w:color="000000"/>
            </w:tcBorders>
            <w:hideMark/>
          </w:tcPr>
          <w:p w14:paraId="4544A339" w14:textId="77777777"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14:paraId="179796B3"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608"/>
        </w:trPr>
        <w:tc>
          <w:tcPr>
            <w:tcW w:w="2268" w:type="dxa"/>
            <w:gridSpan w:val="2"/>
            <w:tcBorders>
              <w:top w:val="single" w:sz="8" w:space="0" w:color="000000"/>
              <w:left w:val="single" w:sz="8" w:space="0" w:color="000000"/>
              <w:bottom w:val="single" w:sz="4" w:space="0" w:color="auto"/>
              <w:right w:val="nil"/>
            </w:tcBorders>
            <w:hideMark/>
          </w:tcPr>
          <w:p w14:paraId="4864F947" w14:textId="77777777"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7196" w:type="dxa"/>
            <w:gridSpan w:val="2"/>
            <w:tcBorders>
              <w:top w:val="single" w:sz="8" w:space="0" w:color="000000"/>
              <w:left w:val="nil"/>
              <w:bottom w:val="single" w:sz="4" w:space="0" w:color="auto"/>
              <w:right w:val="single" w:sz="8" w:space="0" w:color="000000"/>
            </w:tcBorders>
          </w:tcPr>
          <w:p w14:paraId="64BBE6F1" w14:textId="77777777" w:rsidR="00591686" w:rsidRPr="00575235" w:rsidRDefault="00591686" w:rsidP="00452055">
            <w:pPr>
              <w:tabs>
                <w:tab w:val="left" w:pos="8647"/>
              </w:tabs>
              <w:ind w:right="1076"/>
              <w:rPr>
                <w:rFonts w:cs="Arial"/>
              </w:rPr>
            </w:pPr>
            <w:r w:rsidRPr="00575235">
              <w:rPr>
                <w:rFonts w:cs="Arial"/>
              </w:rPr>
              <w:t>This report provides an update into the activities of Barton Oxford LLP</w:t>
            </w:r>
            <w:r w:rsidR="0033740F">
              <w:rPr>
                <w:rFonts w:cs="Arial"/>
              </w:rPr>
              <w:t xml:space="preserve"> (BOLLP)</w:t>
            </w:r>
            <w:r w:rsidRPr="00575235">
              <w:rPr>
                <w:rFonts w:cs="Arial"/>
              </w:rPr>
              <w:t xml:space="preserve"> over the</w:t>
            </w:r>
            <w:r w:rsidR="00A97094">
              <w:rPr>
                <w:rFonts w:cs="Arial"/>
              </w:rPr>
              <w:t xml:space="preserve"> past </w:t>
            </w:r>
            <w:r w:rsidRPr="00575235">
              <w:rPr>
                <w:rFonts w:cs="Arial"/>
              </w:rPr>
              <w:t>quarter</w:t>
            </w:r>
            <w:r w:rsidR="000947DC">
              <w:rPr>
                <w:rFonts w:cs="Arial"/>
              </w:rPr>
              <w:t>.</w:t>
            </w:r>
          </w:p>
        </w:tc>
      </w:tr>
      <w:tr w:rsidR="005F7F7E" w:rsidRPr="00575235" w14:paraId="47A15564"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19"/>
        </w:trPr>
        <w:tc>
          <w:tcPr>
            <w:tcW w:w="9464" w:type="dxa"/>
            <w:gridSpan w:val="4"/>
            <w:tcBorders>
              <w:top w:val="single" w:sz="4" w:space="0" w:color="auto"/>
              <w:bottom w:val="nil"/>
            </w:tcBorders>
          </w:tcPr>
          <w:p w14:paraId="346CA922" w14:textId="7522E52E" w:rsidR="005F7F7E" w:rsidRPr="00C65134" w:rsidRDefault="005F7F7E" w:rsidP="00203C5C">
            <w:pPr>
              <w:tabs>
                <w:tab w:val="left" w:pos="8647"/>
              </w:tabs>
              <w:ind w:right="1076"/>
              <w:rPr>
                <w:rFonts w:cs="Arial"/>
                <w:b/>
              </w:rPr>
            </w:pPr>
            <w:r w:rsidRPr="00575235">
              <w:rPr>
                <w:rStyle w:val="Firstpagetablebold"/>
                <w:rFonts w:cs="Arial"/>
              </w:rPr>
              <w:t>Recommendation(s):</w:t>
            </w:r>
            <w:r w:rsidR="00C65134">
              <w:rPr>
                <w:rStyle w:val="Firstpagetablebold"/>
                <w:rFonts w:cs="Arial"/>
              </w:rPr>
              <w:t xml:space="preserve"> that the Shareholder and Joint Venture Group resolves to:</w:t>
            </w:r>
          </w:p>
        </w:tc>
      </w:tr>
      <w:tr w:rsidR="0030208D" w:rsidRPr="00575235" w14:paraId="22ADB2B1"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07"/>
        </w:trPr>
        <w:tc>
          <w:tcPr>
            <w:tcW w:w="817" w:type="dxa"/>
            <w:tcBorders>
              <w:top w:val="nil"/>
              <w:left w:val="single" w:sz="8" w:space="0" w:color="000000"/>
              <w:bottom w:val="single" w:sz="4" w:space="0" w:color="auto"/>
              <w:right w:val="nil"/>
            </w:tcBorders>
          </w:tcPr>
          <w:p w14:paraId="1355C794" w14:textId="77777777" w:rsidR="0030208D" w:rsidRPr="00575235" w:rsidRDefault="0030208D" w:rsidP="00187A9B">
            <w:pPr>
              <w:pStyle w:val="ListParagraph"/>
              <w:numPr>
                <w:ilvl w:val="0"/>
                <w:numId w:val="6"/>
              </w:numPr>
              <w:tabs>
                <w:tab w:val="clear" w:pos="426"/>
                <w:tab w:val="left" w:pos="8647"/>
              </w:tabs>
              <w:ind w:left="317" w:right="1076" w:hanging="141"/>
              <w:jc w:val="center"/>
              <w:rPr>
                <w:rFonts w:cs="Arial"/>
              </w:rPr>
            </w:pPr>
          </w:p>
        </w:tc>
        <w:tc>
          <w:tcPr>
            <w:tcW w:w="8647" w:type="dxa"/>
            <w:gridSpan w:val="3"/>
            <w:tcBorders>
              <w:top w:val="nil"/>
              <w:left w:val="nil"/>
              <w:bottom w:val="single" w:sz="4" w:space="0" w:color="auto"/>
              <w:right w:val="single" w:sz="8" w:space="0" w:color="000000"/>
            </w:tcBorders>
            <w:shd w:val="clear" w:color="auto" w:fill="auto"/>
          </w:tcPr>
          <w:p w14:paraId="5CD641F8" w14:textId="77777777" w:rsidR="0030208D" w:rsidRPr="00575235" w:rsidRDefault="00E13656" w:rsidP="00477BE1">
            <w:pPr>
              <w:spacing w:after="0"/>
              <w:ind w:right="1076"/>
              <w:contextualSpacing/>
              <w:jc w:val="both"/>
              <w:rPr>
                <w:rFonts w:cs="Arial"/>
              </w:rPr>
            </w:pPr>
            <w:r w:rsidRPr="00CE31B5">
              <w:rPr>
                <w:rFonts w:cs="Arial"/>
                <w:b/>
              </w:rPr>
              <w:t>Note</w:t>
            </w:r>
            <w:r w:rsidRPr="00575235">
              <w:rPr>
                <w:rFonts w:cs="Arial"/>
              </w:rPr>
              <w:t xml:space="preserve"> the contents of the report</w:t>
            </w:r>
            <w:r w:rsidR="002A2D09">
              <w:rPr>
                <w:rFonts w:cs="Arial"/>
              </w:rPr>
              <w:t>.</w:t>
            </w:r>
            <w:r w:rsidRPr="00575235">
              <w:rPr>
                <w:rFonts w:cs="Arial"/>
              </w:rPr>
              <w:t xml:space="preserve"> </w:t>
            </w:r>
          </w:p>
        </w:tc>
      </w:tr>
    </w:tbl>
    <w:p w14:paraId="7CAD03D8" w14:textId="77777777" w:rsidR="00CE544A" w:rsidRPr="00575235" w:rsidRDefault="00CE544A" w:rsidP="00203C5C">
      <w:pPr>
        <w:tabs>
          <w:tab w:val="left" w:pos="8647"/>
        </w:tabs>
        <w:ind w:right="1076"/>
        <w:rPr>
          <w:rFonts w:cs="Arial"/>
        </w:rPr>
      </w:pPr>
    </w:p>
    <w:tbl>
      <w:tblPr>
        <w:tblW w:w="94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6"/>
      </w:tblGrid>
      <w:tr w:rsidR="00966D42" w:rsidRPr="00575235" w14:paraId="0FEF587A" w14:textId="77777777" w:rsidTr="00801432">
        <w:trPr>
          <w:trHeight w:val="487"/>
        </w:trPr>
        <w:tc>
          <w:tcPr>
            <w:tcW w:w="9474" w:type="dxa"/>
            <w:gridSpan w:val="2"/>
            <w:tcBorders>
              <w:top w:val="single" w:sz="8" w:space="0" w:color="000000"/>
              <w:left w:val="single" w:sz="8" w:space="0" w:color="000000"/>
              <w:bottom w:val="single" w:sz="8" w:space="0" w:color="000000"/>
              <w:right w:val="single" w:sz="8" w:space="0" w:color="000000"/>
            </w:tcBorders>
            <w:shd w:val="clear" w:color="auto" w:fill="auto"/>
          </w:tcPr>
          <w:p w14:paraId="1479639E" w14:textId="77777777"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C65134" w:rsidRPr="00575235" w14:paraId="6EF43ADF" w14:textId="77777777" w:rsidTr="00C65134">
        <w:trPr>
          <w:trHeight w:val="372"/>
        </w:trPr>
        <w:tc>
          <w:tcPr>
            <w:tcW w:w="2268" w:type="dxa"/>
            <w:tcBorders>
              <w:top w:val="single" w:sz="8" w:space="0" w:color="000000"/>
              <w:left w:val="single" w:sz="8" w:space="0" w:color="000000"/>
              <w:bottom w:val="single" w:sz="4" w:space="0" w:color="auto"/>
              <w:right w:val="nil"/>
            </w:tcBorders>
            <w:shd w:val="clear" w:color="auto" w:fill="auto"/>
          </w:tcPr>
          <w:p w14:paraId="54801890" w14:textId="2B53ED92" w:rsidR="00C65134" w:rsidRPr="00C65134" w:rsidRDefault="00C65134" w:rsidP="00C65134">
            <w:pPr>
              <w:spacing w:after="0"/>
              <w:ind w:left="360"/>
              <w:rPr>
                <w:rFonts w:cs="Arial"/>
              </w:rPr>
            </w:pPr>
            <w:r>
              <w:rPr>
                <w:rFonts w:cs="Arial"/>
              </w:rPr>
              <w:t xml:space="preserve">Appendix 1 </w:t>
            </w:r>
          </w:p>
        </w:tc>
        <w:tc>
          <w:tcPr>
            <w:tcW w:w="7206" w:type="dxa"/>
            <w:tcBorders>
              <w:top w:val="single" w:sz="8" w:space="0" w:color="000000"/>
              <w:left w:val="nil"/>
              <w:bottom w:val="single" w:sz="4" w:space="0" w:color="auto"/>
              <w:right w:val="single" w:sz="8" w:space="0" w:color="000000"/>
            </w:tcBorders>
            <w:shd w:val="clear" w:color="auto" w:fill="auto"/>
          </w:tcPr>
          <w:p w14:paraId="6C21FD03" w14:textId="4DCDCD49" w:rsidR="00C65134" w:rsidRPr="00C65134" w:rsidRDefault="00C65134" w:rsidP="00C65134">
            <w:pPr>
              <w:spacing w:after="0"/>
              <w:ind w:left="360"/>
              <w:rPr>
                <w:rFonts w:cs="Arial"/>
              </w:rPr>
            </w:pPr>
            <w:r w:rsidRPr="00C65134">
              <w:rPr>
                <w:rFonts w:cs="Arial"/>
              </w:rPr>
              <w:t>CEP Q1 2023 Results</w:t>
            </w:r>
          </w:p>
        </w:tc>
      </w:tr>
    </w:tbl>
    <w:p w14:paraId="2A8374AD" w14:textId="77777777" w:rsidR="00FB7F38" w:rsidRDefault="00FB7F38" w:rsidP="00203C5C">
      <w:pPr>
        <w:tabs>
          <w:tab w:val="left" w:pos="8647"/>
        </w:tabs>
        <w:spacing w:after="0"/>
        <w:ind w:right="1076"/>
        <w:rPr>
          <w:rFonts w:eastAsiaTheme="minorHAnsi" w:cs="Arial"/>
          <w:color w:val="auto"/>
          <w:lang w:eastAsia="en-US"/>
        </w:rPr>
      </w:pPr>
    </w:p>
    <w:p w14:paraId="101FC779" w14:textId="77777777" w:rsidR="0041652A" w:rsidRPr="00575235" w:rsidRDefault="0041652A" w:rsidP="00801432">
      <w:pPr>
        <w:tabs>
          <w:tab w:val="left" w:pos="8647"/>
        </w:tabs>
        <w:spacing w:after="0"/>
        <w:ind w:right="1076"/>
        <w:rPr>
          <w:rFonts w:eastAsiaTheme="minorHAnsi" w:cs="Arial"/>
          <w:color w:val="auto"/>
          <w:lang w:eastAsia="en-US"/>
        </w:rPr>
      </w:pPr>
      <w:bookmarkStart w:id="0" w:name="_GoBack"/>
      <w:bookmarkEnd w:id="0"/>
    </w:p>
    <w:p w14:paraId="2E343065" w14:textId="77777777" w:rsidR="00FB7F38" w:rsidRPr="0081117E" w:rsidRDefault="00FB7F38" w:rsidP="0081117E">
      <w:pPr>
        <w:tabs>
          <w:tab w:val="left" w:pos="8647"/>
        </w:tabs>
        <w:ind w:left="426" w:right="1077" w:hanging="426"/>
        <w:rPr>
          <w:rFonts w:eastAsiaTheme="minorHAnsi" w:cs="Arial"/>
          <w:b/>
          <w:color w:val="auto"/>
          <w:lang w:eastAsia="en-US"/>
        </w:rPr>
      </w:pPr>
      <w:r w:rsidRPr="0081117E">
        <w:rPr>
          <w:rFonts w:eastAsiaTheme="minorHAnsi" w:cs="Arial"/>
          <w:b/>
          <w:color w:val="auto"/>
          <w:lang w:eastAsia="en-US"/>
        </w:rPr>
        <w:t xml:space="preserve">Introduction and </w:t>
      </w:r>
      <w:r w:rsidR="008B593E" w:rsidRPr="0081117E">
        <w:rPr>
          <w:rFonts w:eastAsiaTheme="minorHAnsi" w:cs="Arial"/>
          <w:b/>
          <w:color w:val="auto"/>
          <w:lang w:eastAsia="en-US"/>
        </w:rPr>
        <w:t>b</w:t>
      </w:r>
      <w:r w:rsidRPr="0081117E">
        <w:rPr>
          <w:rFonts w:eastAsiaTheme="minorHAnsi" w:cs="Arial"/>
          <w:b/>
          <w:color w:val="auto"/>
          <w:lang w:eastAsia="en-US"/>
        </w:rPr>
        <w:t>ackground</w:t>
      </w:r>
    </w:p>
    <w:p w14:paraId="23315874" w14:textId="77777777" w:rsidR="003248C5" w:rsidRDefault="007859F3" w:rsidP="00C65134">
      <w:pPr>
        <w:pStyle w:val="Numberedlist"/>
        <w:numPr>
          <w:ilvl w:val="0"/>
          <w:numId w:val="7"/>
        </w:numPr>
        <w:tabs>
          <w:tab w:val="clear" w:pos="993"/>
        </w:tabs>
        <w:ind w:left="700"/>
        <w:jc w:val="both"/>
        <w:rPr>
          <w:rFonts w:eastAsiaTheme="minorHAnsi"/>
          <w:lang w:eastAsia="en-US"/>
        </w:rPr>
      </w:pPr>
      <w:r w:rsidRPr="00AD78FD">
        <w:rPr>
          <w:rFonts w:eastAsiaTheme="minorHAnsi"/>
          <w:lang w:eastAsia="en-US"/>
        </w:rPr>
        <w:t xml:space="preserve">This is the </w:t>
      </w:r>
      <w:r w:rsidR="000A6DE2">
        <w:rPr>
          <w:rFonts w:eastAsiaTheme="minorHAnsi"/>
          <w:lang w:eastAsia="en-US"/>
        </w:rPr>
        <w:t>fifteenth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 </w:t>
      </w:r>
      <w:r w:rsidR="000A6DE2">
        <w:rPr>
          <w:rFonts w:eastAsiaTheme="minorHAnsi"/>
          <w:lang w:eastAsia="en-US"/>
        </w:rPr>
        <w:t>March</w:t>
      </w:r>
      <w:r w:rsidR="00F04261">
        <w:rPr>
          <w:rFonts w:eastAsiaTheme="minorHAnsi"/>
          <w:lang w:eastAsia="en-US"/>
        </w:rPr>
        <w:t xml:space="preserve"> 202</w:t>
      </w:r>
      <w:r w:rsidR="000A6DE2">
        <w:rPr>
          <w:rFonts w:eastAsiaTheme="minorHAnsi"/>
          <w:lang w:eastAsia="en-US"/>
        </w:rPr>
        <w:t>3</w:t>
      </w:r>
      <w:r w:rsidRPr="00AD78FD">
        <w:rPr>
          <w:rFonts w:eastAsiaTheme="minorHAnsi"/>
          <w:lang w:eastAsia="en-US"/>
        </w:rPr>
        <w:t>.</w:t>
      </w:r>
    </w:p>
    <w:p w14:paraId="371B11BD" w14:textId="77777777" w:rsidR="0042362D" w:rsidRDefault="003248C5" w:rsidP="00C65134">
      <w:pPr>
        <w:pStyle w:val="Numberedlist"/>
        <w:numPr>
          <w:ilvl w:val="0"/>
          <w:numId w:val="7"/>
        </w:numPr>
        <w:tabs>
          <w:tab w:val="clear" w:pos="993"/>
        </w:tabs>
        <w:ind w:left="700"/>
        <w:jc w:val="both"/>
        <w:rPr>
          <w:rFonts w:eastAsiaTheme="minorHAnsi"/>
          <w:lang w:eastAsia="en-US"/>
        </w:rPr>
      </w:pPr>
      <w:r>
        <w:rPr>
          <w:rFonts w:eastAsiaTheme="minorHAnsi"/>
          <w:lang w:eastAsia="en-US"/>
        </w:rPr>
        <w:t xml:space="preserve">By way of overview, the Barton project continues to deliver on site and from an LLP perspective is in </w:t>
      </w:r>
      <w:r w:rsidR="003D5EF8">
        <w:rPr>
          <w:rFonts w:eastAsiaTheme="minorHAnsi"/>
          <w:lang w:eastAsia="en-US"/>
        </w:rPr>
        <w:t xml:space="preserve">the </w:t>
      </w:r>
      <w:r>
        <w:rPr>
          <w:rFonts w:eastAsiaTheme="minorHAnsi"/>
          <w:lang w:eastAsia="en-US"/>
        </w:rPr>
        <w:t xml:space="preserve">latter stages. There are three main areas of activity for the LLP – the sale of phase 3B; finalising any necessary agreements emerging from the development of land north of Bayswater Brook; and concluding the obligations emerging from the previous sale of parcels and the wider estate infrastructure. </w:t>
      </w:r>
    </w:p>
    <w:p w14:paraId="248450F6" w14:textId="77777777" w:rsidR="003248C5" w:rsidRDefault="003248C5" w:rsidP="00C65134">
      <w:pPr>
        <w:pStyle w:val="Numberedlist"/>
        <w:numPr>
          <w:ilvl w:val="0"/>
          <w:numId w:val="7"/>
        </w:numPr>
        <w:tabs>
          <w:tab w:val="clear" w:pos="993"/>
        </w:tabs>
        <w:ind w:left="700"/>
        <w:jc w:val="both"/>
        <w:rPr>
          <w:rFonts w:eastAsiaTheme="minorHAnsi"/>
          <w:lang w:eastAsia="en-US"/>
        </w:rPr>
      </w:pPr>
      <w:r>
        <w:rPr>
          <w:rFonts w:eastAsiaTheme="minorHAnsi"/>
          <w:lang w:eastAsia="en-US"/>
        </w:rPr>
        <w:t xml:space="preserve">As reported at the previous meeting, the wider economic context and market volatility has resulted in some slowing of build and occupations. </w:t>
      </w:r>
    </w:p>
    <w:p w14:paraId="0322A3EB" w14:textId="77777777" w:rsidR="000A6DE2" w:rsidRDefault="000A6DE2" w:rsidP="0081117E">
      <w:pPr>
        <w:pStyle w:val="Numberedlist"/>
        <w:numPr>
          <w:ilvl w:val="0"/>
          <w:numId w:val="0"/>
        </w:numPr>
        <w:tabs>
          <w:tab w:val="clear" w:pos="993"/>
          <w:tab w:val="left" w:pos="8647"/>
        </w:tabs>
        <w:ind w:right="1076"/>
        <w:rPr>
          <w:rFonts w:eastAsiaTheme="minorHAnsi" w:cs="Arial"/>
          <w:b/>
          <w:color w:val="auto"/>
          <w:lang w:eastAsia="en-US"/>
        </w:rPr>
      </w:pPr>
    </w:p>
    <w:p w14:paraId="62F72AD6" w14:textId="77777777" w:rsidR="006D052F" w:rsidRPr="00634AB9" w:rsidRDefault="0057130A" w:rsidP="0081117E">
      <w:pPr>
        <w:pStyle w:val="Numberedlist"/>
        <w:numPr>
          <w:ilvl w:val="0"/>
          <w:numId w:val="0"/>
        </w:numPr>
        <w:tabs>
          <w:tab w:val="clear" w:pos="993"/>
          <w:tab w:val="left" w:pos="8647"/>
        </w:tabs>
        <w:ind w:right="1076"/>
        <w:rPr>
          <w:rFonts w:eastAsiaTheme="minorHAnsi" w:cs="Arial"/>
          <w:b/>
          <w:color w:val="auto"/>
          <w:lang w:eastAsia="en-US"/>
        </w:rPr>
      </w:pPr>
      <w:r w:rsidRPr="00634AB9">
        <w:rPr>
          <w:rFonts w:eastAsiaTheme="minorHAnsi" w:cs="Arial"/>
          <w:b/>
          <w:color w:val="auto"/>
          <w:lang w:eastAsia="en-US"/>
        </w:rPr>
        <w:t xml:space="preserve">Progress Update </w:t>
      </w:r>
      <w:r w:rsidR="003F51F4">
        <w:rPr>
          <w:rFonts w:eastAsiaTheme="minorHAnsi" w:cs="Arial"/>
          <w:b/>
          <w:color w:val="auto"/>
          <w:lang w:eastAsia="en-US"/>
        </w:rPr>
        <w:t xml:space="preserve">on individual phases </w:t>
      </w:r>
    </w:p>
    <w:p w14:paraId="3F3343FD" w14:textId="77777777" w:rsidR="007179A2" w:rsidRPr="001E6A20" w:rsidRDefault="001E6A20" w:rsidP="001E6A20">
      <w:pPr>
        <w:pStyle w:val="ListParagraph"/>
        <w:numPr>
          <w:ilvl w:val="0"/>
          <w:numId w:val="7"/>
        </w:numPr>
        <w:tabs>
          <w:tab w:val="left" w:pos="7797"/>
        </w:tabs>
        <w:ind w:left="700"/>
        <w:jc w:val="both"/>
        <w:rPr>
          <w:rFonts w:eastAsiaTheme="minorHAnsi" w:cs="Arial"/>
          <w:color w:val="auto"/>
          <w:lang w:eastAsia="en-US"/>
        </w:rPr>
      </w:pPr>
      <w:r>
        <w:rPr>
          <w:rFonts w:eastAsiaTheme="minorHAnsi" w:cs="Arial"/>
          <w:color w:val="auto"/>
          <w:lang w:eastAsia="en-US"/>
        </w:rPr>
        <w:t xml:space="preserve">As previously reported, the first phase (developer: Hill) </w:t>
      </w:r>
      <w:r w:rsidR="00AC144C" w:rsidRPr="001E6A20">
        <w:rPr>
          <w:rFonts w:eastAsiaTheme="minorHAnsi" w:cs="Arial"/>
          <w:color w:val="auto"/>
          <w:lang w:eastAsia="en-US"/>
        </w:rPr>
        <w:t>of 23</w:t>
      </w:r>
      <w:r w:rsidR="008375AA" w:rsidRPr="001E6A20">
        <w:rPr>
          <w:rFonts w:eastAsiaTheme="minorHAnsi" w:cs="Arial"/>
          <w:color w:val="auto"/>
          <w:lang w:eastAsia="en-US"/>
        </w:rPr>
        <w:t>7</w:t>
      </w:r>
      <w:r w:rsidR="00AC144C" w:rsidRPr="001E6A20">
        <w:rPr>
          <w:rFonts w:eastAsiaTheme="minorHAnsi" w:cs="Arial"/>
          <w:color w:val="auto"/>
          <w:lang w:eastAsia="en-US"/>
        </w:rPr>
        <w:t xml:space="preserve"> homes with 95 affordable is now completed with no significant issues to report. </w:t>
      </w:r>
    </w:p>
    <w:p w14:paraId="2CC40F23" w14:textId="00675534" w:rsidR="00696156" w:rsidRPr="00BC0C28" w:rsidRDefault="001E6A20" w:rsidP="00FB5DE4">
      <w:pPr>
        <w:pStyle w:val="ListParagraph"/>
        <w:numPr>
          <w:ilvl w:val="0"/>
          <w:numId w:val="7"/>
        </w:numPr>
        <w:tabs>
          <w:tab w:val="num" w:pos="1430"/>
        </w:tabs>
        <w:spacing w:after="0"/>
        <w:ind w:left="700"/>
        <w:contextualSpacing/>
        <w:jc w:val="both"/>
        <w:rPr>
          <w:rFonts w:cs="Arial"/>
          <w:color w:val="auto"/>
        </w:rPr>
      </w:pPr>
      <w:r>
        <w:rPr>
          <w:rFonts w:cs="Arial"/>
        </w:rPr>
        <w:t>The second</w:t>
      </w:r>
      <w:r w:rsidR="00696156" w:rsidRPr="00BC0C28">
        <w:rPr>
          <w:rFonts w:cs="Arial"/>
        </w:rPr>
        <w:t xml:space="preserve"> phase </w:t>
      </w:r>
      <w:r>
        <w:rPr>
          <w:rFonts w:cs="Arial"/>
        </w:rPr>
        <w:t xml:space="preserve">(developer: </w:t>
      </w:r>
      <w:proofErr w:type="spellStart"/>
      <w:r>
        <w:rPr>
          <w:rFonts w:cs="Arial"/>
        </w:rPr>
        <w:t>Redrow</w:t>
      </w:r>
      <w:proofErr w:type="spellEnd"/>
      <w:r>
        <w:rPr>
          <w:rFonts w:cs="Arial"/>
        </w:rPr>
        <w:t xml:space="preserve">) </w:t>
      </w:r>
      <w:r w:rsidR="00696156" w:rsidRPr="00BC0C28">
        <w:rPr>
          <w:rFonts w:cs="Arial"/>
        </w:rPr>
        <w:t xml:space="preserve">is to deliver 207 homes in total of which 83 are affordable.  </w:t>
      </w:r>
      <w:r w:rsidR="00C20EBE" w:rsidRPr="00BC0C28">
        <w:rPr>
          <w:rFonts w:cs="Arial"/>
        </w:rPr>
        <w:t xml:space="preserve">As at the end of </w:t>
      </w:r>
      <w:r>
        <w:rPr>
          <w:rFonts w:cs="Arial"/>
        </w:rPr>
        <w:t>May</w:t>
      </w:r>
      <w:r w:rsidR="00C20EBE" w:rsidRPr="00BC0C28">
        <w:rPr>
          <w:rFonts w:cs="Arial"/>
        </w:rPr>
        <w:t xml:space="preserve">, </w:t>
      </w:r>
      <w:proofErr w:type="spellStart"/>
      <w:r w:rsidR="00667551" w:rsidRPr="00BC0C28">
        <w:rPr>
          <w:rFonts w:cs="Arial"/>
        </w:rPr>
        <w:t>Redrow</w:t>
      </w:r>
      <w:proofErr w:type="spellEnd"/>
      <w:r w:rsidR="00667551" w:rsidRPr="00BC0C28">
        <w:rPr>
          <w:rFonts w:cs="Arial"/>
        </w:rPr>
        <w:t xml:space="preserve"> ha</w:t>
      </w:r>
      <w:r w:rsidR="00C20EBE" w:rsidRPr="00BC0C28">
        <w:rPr>
          <w:rFonts w:cs="Arial"/>
        </w:rPr>
        <w:t xml:space="preserve">d completed </w:t>
      </w:r>
      <w:r>
        <w:rPr>
          <w:rFonts w:cs="Arial"/>
        </w:rPr>
        <w:t>71</w:t>
      </w:r>
      <w:r w:rsidR="00C20EBE" w:rsidRPr="00BC0C28">
        <w:rPr>
          <w:rFonts w:cs="Arial"/>
        </w:rPr>
        <w:t xml:space="preserve"> private homes and </w:t>
      </w:r>
      <w:r w:rsidR="00BC0C28" w:rsidRPr="00BC0C28">
        <w:rPr>
          <w:rFonts w:cs="Arial"/>
        </w:rPr>
        <w:t>31</w:t>
      </w:r>
      <w:r w:rsidR="00C20EBE" w:rsidRPr="00BC0C28">
        <w:rPr>
          <w:rFonts w:cs="Arial"/>
        </w:rPr>
        <w:t xml:space="preserve"> affordable homes.</w:t>
      </w:r>
      <w:r w:rsidR="00BC0C28" w:rsidRPr="00BC0C28">
        <w:rPr>
          <w:rFonts w:cs="Arial"/>
        </w:rPr>
        <w:t xml:space="preserve"> The next </w:t>
      </w:r>
      <w:r w:rsidR="003E18C9">
        <w:rPr>
          <w:rFonts w:cs="Arial"/>
        </w:rPr>
        <w:t xml:space="preserve">17 </w:t>
      </w:r>
      <w:r w:rsidR="00BC0C28" w:rsidRPr="00BC0C28">
        <w:rPr>
          <w:rFonts w:cs="Arial"/>
        </w:rPr>
        <w:t xml:space="preserve">affordable homes are </w:t>
      </w:r>
      <w:r w:rsidR="00BC0C28" w:rsidRPr="00BC0C28">
        <w:rPr>
          <w:rFonts w:cs="Arial"/>
        </w:rPr>
        <w:lastRenderedPageBreak/>
        <w:t xml:space="preserve">now expected to handover in </w:t>
      </w:r>
      <w:r>
        <w:rPr>
          <w:rFonts w:cs="Arial"/>
        </w:rPr>
        <w:t xml:space="preserve">June </w:t>
      </w:r>
      <w:r w:rsidR="00BC0C28" w:rsidRPr="00BC0C28">
        <w:rPr>
          <w:rFonts w:cs="Arial"/>
        </w:rPr>
        <w:t xml:space="preserve">2023. </w:t>
      </w:r>
      <w:r w:rsidR="003E18C9">
        <w:rPr>
          <w:rFonts w:cs="Arial"/>
        </w:rPr>
        <w:t xml:space="preserve">These have slowed slightly against forecast. </w:t>
      </w:r>
    </w:p>
    <w:p w14:paraId="78857D77" w14:textId="77777777" w:rsidR="001E6A20" w:rsidRPr="001E6A20" w:rsidRDefault="001E6A20" w:rsidP="001E6A20">
      <w:pPr>
        <w:pStyle w:val="ListParagraph"/>
        <w:numPr>
          <w:ilvl w:val="0"/>
          <w:numId w:val="0"/>
        </w:numPr>
        <w:autoSpaceDE w:val="0"/>
        <w:autoSpaceDN w:val="0"/>
        <w:adjustRightInd w:val="0"/>
        <w:spacing w:after="0"/>
        <w:ind w:left="700"/>
        <w:contextualSpacing/>
        <w:jc w:val="both"/>
        <w:rPr>
          <w:rFonts w:ascii="Calibri" w:hAnsi="Calibri" w:cs="Calibri"/>
          <w:sz w:val="22"/>
          <w:szCs w:val="22"/>
        </w:rPr>
      </w:pPr>
    </w:p>
    <w:p w14:paraId="1BF1B94F" w14:textId="2F006B01" w:rsidR="003E18C9" w:rsidRPr="003E18C9" w:rsidRDefault="001E6A20" w:rsidP="003E18C9">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Pr>
          <w:rFonts w:cs="Arial"/>
        </w:rPr>
        <w:t>The third phase (developer: Countrysid</w:t>
      </w:r>
      <w:r w:rsidR="00825C6E">
        <w:rPr>
          <w:rFonts w:cs="Arial"/>
        </w:rPr>
        <w:t xml:space="preserve">e, now </w:t>
      </w:r>
      <w:proofErr w:type="spellStart"/>
      <w:r w:rsidR="00825C6E">
        <w:rPr>
          <w:rFonts w:cs="Arial"/>
        </w:rPr>
        <w:t>Vistry</w:t>
      </w:r>
      <w:proofErr w:type="spellEnd"/>
      <w:r w:rsidR="00825C6E">
        <w:rPr>
          <w:rFonts w:cs="Arial"/>
        </w:rPr>
        <w:t xml:space="preserve">) is for 434 homes. This phase includes </w:t>
      </w:r>
      <w:r>
        <w:rPr>
          <w:rFonts w:cs="Arial"/>
        </w:rPr>
        <w:t>174 S106 affordable homes</w:t>
      </w:r>
      <w:r w:rsidR="00825C6E">
        <w:rPr>
          <w:rFonts w:cs="Arial"/>
        </w:rPr>
        <w:t xml:space="preserve">; 96 “additional” affordable homes being sold to Places for People; </w:t>
      </w:r>
      <w:r>
        <w:rPr>
          <w:rFonts w:cs="Arial"/>
        </w:rPr>
        <w:t>and the retail element. They have commenced grounds work</w:t>
      </w:r>
      <w:r w:rsidR="00021A91">
        <w:rPr>
          <w:rFonts w:cs="Arial"/>
        </w:rPr>
        <w:t xml:space="preserve">s </w:t>
      </w:r>
      <w:r>
        <w:rPr>
          <w:rFonts w:cs="Arial"/>
        </w:rPr>
        <w:t>which they report are progressing well. The current forecast is that the retail offe</w:t>
      </w:r>
      <w:r w:rsidR="003D5EF8">
        <w:rPr>
          <w:rFonts w:cs="Arial"/>
        </w:rPr>
        <w:t>r will be completed in quarter three</w:t>
      </w:r>
      <w:r>
        <w:rPr>
          <w:rFonts w:cs="Arial"/>
        </w:rPr>
        <w:t xml:space="preserve"> of 2024 which we will continue to monitor as it is a key issue for local residents.</w:t>
      </w:r>
      <w:r w:rsidR="003E18C9">
        <w:rPr>
          <w:rFonts w:cs="Arial"/>
        </w:rPr>
        <w:t xml:space="preserve"> </w:t>
      </w:r>
      <w:proofErr w:type="spellStart"/>
      <w:r w:rsidR="003E18C9">
        <w:rPr>
          <w:rFonts w:cs="Arial"/>
        </w:rPr>
        <w:t>Vistry</w:t>
      </w:r>
      <w:proofErr w:type="spellEnd"/>
      <w:r w:rsidR="003E18C9">
        <w:rPr>
          <w:rFonts w:cs="Arial"/>
        </w:rPr>
        <w:t xml:space="preserve"> are in discussions and </w:t>
      </w:r>
      <w:proofErr w:type="spellStart"/>
      <w:r w:rsidR="003E18C9">
        <w:rPr>
          <w:rFonts w:cs="Arial"/>
        </w:rPr>
        <w:t>legals</w:t>
      </w:r>
      <w:proofErr w:type="spellEnd"/>
      <w:r w:rsidR="003E18C9">
        <w:rPr>
          <w:rFonts w:cs="Arial"/>
        </w:rPr>
        <w:t xml:space="preserve"> with a </w:t>
      </w:r>
      <w:proofErr w:type="spellStart"/>
      <w:r w:rsidR="003E18C9">
        <w:rPr>
          <w:rFonts w:cs="Arial"/>
        </w:rPr>
        <w:t>foodstore</w:t>
      </w:r>
      <w:proofErr w:type="spellEnd"/>
      <w:r w:rsidR="003E18C9">
        <w:rPr>
          <w:rFonts w:cs="Arial"/>
        </w:rPr>
        <w:t xml:space="preserve"> operator for the larger retail unit and have started marketing the smaller units. They reported to the most recent BICEP meeting that they were hoping to let to a café and a boutique shop. </w:t>
      </w:r>
      <w:r>
        <w:rPr>
          <w:rFonts w:cs="Arial"/>
        </w:rPr>
        <w:t xml:space="preserve">   </w:t>
      </w:r>
    </w:p>
    <w:p w14:paraId="173C6DC1" w14:textId="77777777" w:rsidR="003E18C9" w:rsidRDefault="003E18C9" w:rsidP="001E6A20">
      <w:pPr>
        <w:pStyle w:val="Numberedlist"/>
        <w:numPr>
          <w:ilvl w:val="0"/>
          <w:numId w:val="0"/>
        </w:numPr>
        <w:tabs>
          <w:tab w:val="clear" w:pos="993"/>
          <w:tab w:val="left" w:pos="8647"/>
        </w:tabs>
        <w:ind w:right="1076"/>
        <w:rPr>
          <w:rFonts w:eastAsiaTheme="minorHAnsi" w:cs="Arial"/>
          <w:b/>
          <w:color w:val="auto"/>
          <w:lang w:eastAsia="en-US"/>
        </w:rPr>
      </w:pPr>
    </w:p>
    <w:p w14:paraId="47D4BEFF" w14:textId="2B25350F" w:rsidR="001E6A20" w:rsidRPr="00634AB9" w:rsidRDefault="003E18C9" w:rsidP="001E6A20">
      <w:pPr>
        <w:pStyle w:val="Numberedlist"/>
        <w:numPr>
          <w:ilvl w:val="0"/>
          <w:numId w:val="0"/>
        </w:numPr>
        <w:tabs>
          <w:tab w:val="clear" w:pos="993"/>
          <w:tab w:val="left" w:pos="8647"/>
        </w:tabs>
        <w:ind w:right="1076"/>
        <w:rPr>
          <w:rFonts w:eastAsiaTheme="minorHAnsi" w:cs="Arial"/>
          <w:b/>
          <w:color w:val="auto"/>
          <w:lang w:eastAsia="en-US"/>
        </w:rPr>
      </w:pPr>
      <w:r>
        <w:rPr>
          <w:rFonts w:eastAsiaTheme="minorHAnsi" w:cs="Arial"/>
          <w:b/>
          <w:color w:val="auto"/>
          <w:lang w:eastAsia="en-US"/>
        </w:rPr>
        <w:t>S</w:t>
      </w:r>
      <w:r w:rsidR="001E6A20">
        <w:rPr>
          <w:rFonts w:eastAsiaTheme="minorHAnsi" w:cs="Arial"/>
          <w:b/>
          <w:color w:val="auto"/>
          <w:lang w:eastAsia="en-US"/>
        </w:rPr>
        <w:t xml:space="preserve">ale of Barton 3B </w:t>
      </w:r>
    </w:p>
    <w:p w14:paraId="47B00A30" w14:textId="4EBF09F9" w:rsidR="002D085C" w:rsidRDefault="001E6A20" w:rsidP="000F4892">
      <w:pPr>
        <w:pStyle w:val="ListParagraph"/>
        <w:numPr>
          <w:ilvl w:val="0"/>
          <w:numId w:val="7"/>
        </w:numPr>
        <w:spacing w:after="0"/>
        <w:ind w:left="700"/>
        <w:contextualSpacing/>
        <w:jc w:val="both"/>
        <w:rPr>
          <w:rFonts w:cs="Arial"/>
        </w:rPr>
      </w:pPr>
      <w:r>
        <w:rPr>
          <w:rFonts w:cs="Arial"/>
        </w:rPr>
        <w:t>As reported at the last Shareholder and Joint Venture Group, the “Hillside Case”</w:t>
      </w:r>
      <w:r w:rsidR="002D085C">
        <w:rPr>
          <w:rFonts w:cs="Arial"/>
        </w:rPr>
        <w:t xml:space="preserve"> has created a potential planning risk for the existing reserved matters consent (and therefore the LLP</w:t>
      </w:r>
      <w:r w:rsidR="00021A91">
        <w:rPr>
          <w:rFonts w:cs="Arial"/>
        </w:rPr>
        <w:t>’</w:t>
      </w:r>
      <w:r w:rsidR="002D085C">
        <w:rPr>
          <w:rFonts w:cs="Arial"/>
        </w:rPr>
        <w:t xml:space="preserve">s obligations under the sales of phases made to date). The advice to the LLP from solicitors and planning consultants has been that to mitigate this risk, the boundary of the planning application should be altered to remove Barton 3B from </w:t>
      </w:r>
      <w:r w:rsidR="00176634">
        <w:rPr>
          <w:rFonts w:cs="Arial"/>
        </w:rPr>
        <w:t>the existing consent</w:t>
      </w:r>
      <w:r w:rsidR="002D085C">
        <w:rPr>
          <w:rFonts w:cs="Arial"/>
        </w:rPr>
        <w:t>. The dialogue with the Local Planning Authority continues</w:t>
      </w:r>
      <w:r w:rsidR="00176634">
        <w:rPr>
          <w:rFonts w:cs="Arial"/>
        </w:rPr>
        <w:t xml:space="preserve"> as we await their legal advice as to how this should be progressed. </w:t>
      </w:r>
    </w:p>
    <w:p w14:paraId="4783AD34" w14:textId="77777777" w:rsidR="002D085C" w:rsidRDefault="002D085C" w:rsidP="002D085C">
      <w:pPr>
        <w:pStyle w:val="ListParagraph"/>
        <w:numPr>
          <w:ilvl w:val="0"/>
          <w:numId w:val="0"/>
        </w:numPr>
        <w:spacing w:after="0"/>
        <w:ind w:left="700"/>
        <w:contextualSpacing/>
        <w:jc w:val="both"/>
        <w:rPr>
          <w:rFonts w:cs="Arial"/>
        </w:rPr>
      </w:pPr>
    </w:p>
    <w:p w14:paraId="21986E99" w14:textId="4A27C17F" w:rsidR="000F4892" w:rsidRDefault="002D085C" w:rsidP="000F4892">
      <w:pPr>
        <w:pStyle w:val="ListParagraph"/>
        <w:numPr>
          <w:ilvl w:val="0"/>
          <w:numId w:val="7"/>
        </w:numPr>
        <w:spacing w:after="0"/>
        <w:ind w:left="700"/>
        <w:contextualSpacing/>
        <w:jc w:val="both"/>
        <w:rPr>
          <w:rFonts w:cs="Arial"/>
        </w:rPr>
      </w:pPr>
      <w:r>
        <w:rPr>
          <w:rFonts w:cs="Arial"/>
        </w:rPr>
        <w:t xml:space="preserve">Until the LLP have resolved this issue, work with the prospective purchaser of Barton 3B has been paused. However, it is intended this will be progressed once resolved based on the original proposal of a highly sustainable, affordable housing scheme.  </w:t>
      </w:r>
    </w:p>
    <w:p w14:paraId="6FD79ABA" w14:textId="77777777" w:rsidR="002D085C" w:rsidRDefault="002D085C" w:rsidP="0081117E">
      <w:pPr>
        <w:ind w:left="426" w:hanging="426"/>
        <w:rPr>
          <w:b/>
          <w:bCs/>
        </w:rPr>
      </w:pPr>
    </w:p>
    <w:p w14:paraId="3D57C5C9" w14:textId="34845186" w:rsidR="002D085C" w:rsidRDefault="002D085C" w:rsidP="002D085C">
      <w:pPr>
        <w:tabs>
          <w:tab w:val="left" w:pos="8647"/>
        </w:tabs>
        <w:ind w:left="426" w:right="1077" w:hanging="426"/>
        <w:jc w:val="both"/>
        <w:rPr>
          <w:rFonts w:eastAsiaTheme="minorHAnsi" w:cs="Arial"/>
          <w:b/>
          <w:color w:val="auto"/>
          <w:lang w:eastAsia="en-US"/>
        </w:rPr>
      </w:pPr>
      <w:r>
        <w:rPr>
          <w:rFonts w:eastAsiaTheme="minorHAnsi" w:cs="Arial"/>
          <w:b/>
          <w:color w:val="auto"/>
          <w:lang w:eastAsia="en-US"/>
        </w:rPr>
        <w:t>Land North of Bay</w:t>
      </w:r>
      <w:r w:rsidR="00C65134">
        <w:rPr>
          <w:rFonts w:eastAsiaTheme="minorHAnsi" w:cs="Arial"/>
          <w:b/>
          <w:color w:val="auto"/>
          <w:lang w:eastAsia="en-US"/>
        </w:rPr>
        <w:t>s</w:t>
      </w:r>
      <w:r>
        <w:rPr>
          <w:rFonts w:eastAsiaTheme="minorHAnsi" w:cs="Arial"/>
          <w:b/>
          <w:color w:val="auto"/>
          <w:lang w:eastAsia="en-US"/>
        </w:rPr>
        <w:t>water Brook</w:t>
      </w:r>
    </w:p>
    <w:p w14:paraId="6B4B7F5E" w14:textId="7DD95893" w:rsidR="002D085C" w:rsidRPr="002D085C" w:rsidRDefault="002D085C" w:rsidP="00C65134">
      <w:pPr>
        <w:pStyle w:val="ListParagraph"/>
        <w:numPr>
          <w:ilvl w:val="0"/>
          <w:numId w:val="7"/>
        </w:numPr>
        <w:jc w:val="both"/>
        <w:rPr>
          <w:rFonts w:eastAsiaTheme="minorHAnsi" w:cs="Arial"/>
          <w:color w:val="auto"/>
          <w:lang w:eastAsia="en-US"/>
        </w:rPr>
      </w:pPr>
      <w:r w:rsidRPr="002D085C">
        <w:rPr>
          <w:color w:val="auto"/>
        </w:rPr>
        <w:t>Work with Dorchester</w:t>
      </w:r>
      <w:r w:rsidR="007A0B91">
        <w:rPr>
          <w:color w:val="auto"/>
        </w:rPr>
        <w:t xml:space="preserve"> and the LLP on finalising the O</w:t>
      </w:r>
      <w:r w:rsidRPr="002D085C">
        <w:rPr>
          <w:color w:val="auto"/>
        </w:rPr>
        <w:t xml:space="preserve">ption </w:t>
      </w:r>
      <w:r w:rsidR="007A0B91">
        <w:rPr>
          <w:color w:val="auto"/>
        </w:rPr>
        <w:t xml:space="preserve">Agreement </w:t>
      </w:r>
      <w:r w:rsidRPr="002D085C">
        <w:rPr>
          <w:color w:val="auto"/>
        </w:rPr>
        <w:t xml:space="preserve">for pedestrian and cycle links through the liner park continues. </w:t>
      </w:r>
      <w:r w:rsidR="00176634">
        <w:rPr>
          <w:color w:val="auto"/>
        </w:rPr>
        <w:t xml:space="preserve">An element of the financial contribution will be used to make a contribution towards </w:t>
      </w:r>
      <w:r w:rsidRPr="002D085C">
        <w:rPr>
          <w:color w:val="auto"/>
        </w:rPr>
        <w:t xml:space="preserve">the service charge </w:t>
      </w:r>
      <w:r w:rsidR="00176634">
        <w:rPr>
          <w:color w:val="auto"/>
        </w:rPr>
        <w:t>for residents</w:t>
      </w:r>
      <w:r w:rsidRPr="002D085C">
        <w:rPr>
          <w:color w:val="auto"/>
        </w:rPr>
        <w:t xml:space="preserve">. </w:t>
      </w:r>
    </w:p>
    <w:p w14:paraId="4A6220B3" w14:textId="77777777" w:rsidR="002D085C" w:rsidRDefault="002D085C" w:rsidP="0081117E">
      <w:pPr>
        <w:ind w:left="426" w:hanging="426"/>
        <w:rPr>
          <w:b/>
          <w:bCs/>
        </w:rPr>
      </w:pPr>
    </w:p>
    <w:p w14:paraId="318D4E11" w14:textId="77777777" w:rsidR="00C20EBE" w:rsidRPr="0081117E" w:rsidRDefault="00612897" w:rsidP="0081117E">
      <w:pPr>
        <w:ind w:left="426" w:hanging="426"/>
        <w:rPr>
          <w:b/>
          <w:bCs/>
        </w:rPr>
      </w:pPr>
      <w:r>
        <w:rPr>
          <w:b/>
          <w:bCs/>
        </w:rPr>
        <w:t>Community Employment Plan</w:t>
      </w:r>
    </w:p>
    <w:p w14:paraId="14F8B041" w14:textId="20262C91" w:rsidR="00A20236" w:rsidRPr="008375AA" w:rsidRDefault="002D085C" w:rsidP="00C65134">
      <w:pPr>
        <w:pStyle w:val="ListParagraph"/>
        <w:numPr>
          <w:ilvl w:val="0"/>
          <w:numId w:val="7"/>
        </w:numPr>
        <w:jc w:val="both"/>
        <w:rPr>
          <w:bCs/>
        </w:rPr>
      </w:pPr>
      <w:r>
        <w:rPr>
          <w:bCs/>
        </w:rPr>
        <w:t>A Community Employment Plan steering group</w:t>
      </w:r>
      <w:r w:rsidR="00021A91">
        <w:rPr>
          <w:bCs/>
        </w:rPr>
        <w:t xml:space="preserve"> meeting</w:t>
      </w:r>
      <w:r>
        <w:rPr>
          <w:bCs/>
        </w:rPr>
        <w:t xml:space="preserve"> was held in March 2023 with the re</w:t>
      </w:r>
      <w:r w:rsidR="003D5EF8">
        <w:rPr>
          <w:bCs/>
        </w:rPr>
        <w:t xml:space="preserve">presentatives of </w:t>
      </w:r>
      <w:proofErr w:type="spellStart"/>
      <w:r w:rsidR="003D5EF8">
        <w:rPr>
          <w:bCs/>
        </w:rPr>
        <w:t>Redrow</w:t>
      </w:r>
      <w:proofErr w:type="spellEnd"/>
      <w:r w:rsidR="003D5EF8">
        <w:rPr>
          <w:bCs/>
        </w:rPr>
        <w:t xml:space="preserve">, </w:t>
      </w:r>
      <w:proofErr w:type="spellStart"/>
      <w:r w:rsidR="003D5EF8">
        <w:rPr>
          <w:bCs/>
        </w:rPr>
        <w:t>Vistry</w:t>
      </w:r>
      <w:proofErr w:type="spellEnd"/>
      <w:r w:rsidR="003D5EF8">
        <w:rPr>
          <w:bCs/>
        </w:rPr>
        <w:t xml:space="preserve">, the </w:t>
      </w:r>
      <w:r>
        <w:rPr>
          <w:bCs/>
        </w:rPr>
        <w:t xml:space="preserve">LLP, </w:t>
      </w:r>
      <w:proofErr w:type="spellStart"/>
      <w:r>
        <w:rPr>
          <w:bCs/>
        </w:rPr>
        <w:t>OxLEP</w:t>
      </w:r>
      <w:proofErr w:type="spellEnd"/>
      <w:r>
        <w:rPr>
          <w:bCs/>
        </w:rPr>
        <w:t xml:space="preserve">, </w:t>
      </w:r>
      <w:r w:rsidR="003D5EF8">
        <w:rPr>
          <w:bCs/>
        </w:rPr>
        <w:t xml:space="preserve">and </w:t>
      </w:r>
      <w:r>
        <w:rPr>
          <w:bCs/>
        </w:rPr>
        <w:t xml:space="preserve">Activate Learning. The current on-site statistics were reported </w:t>
      </w:r>
      <w:r w:rsidR="003D5EF8">
        <w:rPr>
          <w:bCs/>
        </w:rPr>
        <w:t xml:space="preserve">as part of a </w:t>
      </w:r>
      <w:r>
        <w:rPr>
          <w:bCs/>
        </w:rPr>
        <w:t>process that will now become quarterly.</w:t>
      </w:r>
      <w:r w:rsidR="00C65134">
        <w:rPr>
          <w:bCs/>
        </w:rPr>
        <w:t xml:space="preserve"> These are included as </w:t>
      </w:r>
      <w:r w:rsidR="00C65134" w:rsidRPr="00C65134">
        <w:rPr>
          <w:b/>
          <w:bCs/>
        </w:rPr>
        <w:t>A</w:t>
      </w:r>
      <w:r w:rsidR="00176634" w:rsidRPr="00C65134">
        <w:rPr>
          <w:b/>
          <w:bCs/>
        </w:rPr>
        <w:t>ppendix 1</w:t>
      </w:r>
      <w:r w:rsidR="00176634">
        <w:rPr>
          <w:bCs/>
        </w:rPr>
        <w:t>.</w:t>
      </w:r>
      <w:r w:rsidR="00085C08">
        <w:t xml:space="preserve"> In areas such as local procurement, the housebuilders are exceeding targets set. Other areas need further work such as organising traineeships and site visits. The steering group and reporting will now happen quarterly which </w:t>
      </w:r>
      <w:r w:rsidR="00862F3C">
        <w:t xml:space="preserve">will </w:t>
      </w:r>
      <w:r w:rsidR="00085C08">
        <w:t>support the housebuilders with any barriers they are finding</w:t>
      </w:r>
      <w:r w:rsidR="00862F3C">
        <w:t xml:space="preserve"> and hold them to account over their performance in this area</w:t>
      </w:r>
      <w:r w:rsidR="00085C08">
        <w:t xml:space="preserve">. </w:t>
      </w:r>
    </w:p>
    <w:p w14:paraId="238E6B6E" w14:textId="77777777" w:rsidR="00612897" w:rsidRDefault="00612897" w:rsidP="00612897">
      <w:pPr>
        <w:ind w:left="426" w:hanging="426"/>
        <w:rPr>
          <w:b/>
          <w:bCs/>
        </w:rPr>
      </w:pPr>
    </w:p>
    <w:p w14:paraId="156387A1" w14:textId="77777777" w:rsidR="007A0B91" w:rsidRDefault="007A0B91" w:rsidP="00612897">
      <w:pPr>
        <w:ind w:left="426" w:hanging="426"/>
        <w:rPr>
          <w:b/>
          <w:bCs/>
        </w:rPr>
      </w:pPr>
    </w:p>
    <w:p w14:paraId="29BC2F2F" w14:textId="77777777" w:rsidR="00612897" w:rsidRPr="0081117E" w:rsidRDefault="00085C08" w:rsidP="00612897">
      <w:pPr>
        <w:ind w:left="426" w:hanging="426"/>
        <w:rPr>
          <w:b/>
          <w:bCs/>
        </w:rPr>
      </w:pPr>
      <w:r>
        <w:rPr>
          <w:b/>
          <w:bCs/>
        </w:rPr>
        <w:lastRenderedPageBreak/>
        <w:t>Community and events</w:t>
      </w:r>
    </w:p>
    <w:p w14:paraId="336AD7D8" w14:textId="33513DDD" w:rsidR="00F8768C" w:rsidRDefault="00BC0C28" w:rsidP="00C65134">
      <w:pPr>
        <w:pStyle w:val="ListParagraph"/>
        <w:numPr>
          <w:ilvl w:val="0"/>
          <w:numId w:val="7"/>
        </w:numPr>
        <w:jc w:val="both"/>
        <w:rPr>
          <w:bCs/>
        </w:rPr>
      </w:pPr>
      <w:r>
        <w:rPr>
          <w:bCs/>
        </w:rPr>
        <w:t xml:space="preserve">BICEP meetings continue </w:t>
      </w:r>
      <w:r w:rsidR="00021A91">
        <w:rPr>
          <w:bCs/>
        </w:rPr>
        <w:t>on</w:t>
      </w:r>
      <w:r>
        <w:rPr>
          <w:bCs/>
        </w:rPr>
        <w:t xml:space="preserve"> a quarterly basis. </w:t>
      </w:r>
      <w:r w:rsidR="00085C08">
        <w:rPr>
          <w:bCs/>
        </w:rPr>
        <w:t xml:space="preserve">There is also a Residents Focus Group. Between these groups, concerns are getting addressed – for example, litter was an ongoing maintenance concern – which increased First Port site walks and the installation of additional bins is trying to address. </w:t>
      </w:r>
    </w:p>
    <w:p w14:paraId="710A34FD" w14:textId="77777777" w:rsidR="007A0B91" w:rsidRDefault="007A0B91" w:rsidP="00085C08">
      <w:pPr>
        <w:rPr>
          <w:b/>
          <w:bCs/>
        </w:rPr>
      </w:pPr>
    </w:p>
    <w:p w14:paraId="59B5EC65" w14:textId="77777777" w:rsidR="00085C08" w:rsidRPr="00085C08" w:rsidRDefault="00085C08" w:rsidP="00085C08">
      <w:pPr>
        <w:rPr>
          <w:b/>
          <w:bCs/>
        </w:rPr>
      </w:pPr>
      <w:r>
        <w:rPr>
          <w:b/>
          <w:bCs/>
        </w:rPr>
        <w:t>Publicity</w:t>
      </w:r>
    </w:p>
    <w:p w14:paraId="333ACC63" w14:textId="2E359F70" w:rsidR="00F8768C" w:rsidRPr="0081117E" w:rsidRDefault="00085C08" w:rsidP="00C65134">
      <w:pPr>
        <w:pStyle w:val="ListParagraph"/>
        <w:numPr>
          <w:ilvl w:val="0"/>
          <w:numId w:val="7"/>
        </w:numPr>
        <w:jc w:val="both"/>
        <w:rPr>
          <w:bCs/>
        </w:rPr>
      </w:pPr>
      <w:r>
        <w:rPr>
          <w:bCs/>
        </w:rPr>
        <w:t xml:space="preserve">Members of the Shareholder and Joint Venture Group will remember that we had agreed to explore publicity around the delivery of affordable housing at Barton. As </w:t>
      </w:r>
      <w:proofErr w:type="spellStart"/>
      <w:r>
        <w:rPr>
          <w:bCs/>
        </w:rPr>
        <w:t>Vistry</w:t>
      </w:r>
      <w:proofErr w:type="spellEnd"/>
      <w:r>
        <w:rPr>
          <w:bCs/>
        </w:rPr>
        <w:t xml:space="preserve"> settle in to </w:t>
      </w:r>
      <w:r w:rsidR="00021A91">
        <w:rPr>
          <w:bCs/>
        </w:rPr>
        <w:t>o</w:t>
      </w:r>
      <w:r>
        <w:rPr>
          <w:bCs/>
        </w:rPr>
        <w:t xml:space="preserve">n-site delivery and the handovers from </w:t>
      </w:r>
      <w:proofErr w:type="spellStart"/>
      <w:r>
        <w:rPr>
          <w:bCs/>
        </w:rPr>
        <w:t>Redrow</w:t>
      </w:r>
      <w:proofErr w:type="spellEnd"/>
      <w:r>
        <w:rPr>
          <w:bCs/>
        </w:rPr>
        <w:t xml:space="preserve"> continue, we are looking to </w:t>
      </w:r>
      <w:r w:rsidR="002A678A">
        <w:rPr>
          <w:bCs/>
        </w:rPr>
        <w:t>instigate this</w:t>
      </w:r>
      <w:r w:rsidR="00977B75">
        <w:rPr>
          <w:bCs/>
        </w:rPr>
        <w:t xml:space="preserve"> and the Communications Team are lined up to do this in July</w:t>
      </w:r>
      <w:r w:rsidR="002A678A">
        <w:rPr>
          <w:bCs/>
        </w:rPr>
        <w:t xml:space="preserve">. </w:t>
      </w:r>
      <w:r w:rsidR="00EB38E3">
        <w:rPr>
          <w:bCs/>
        </w:rPr>
        <w:t>The focus will be on the provision of social rent on the scheme.</w:t>
      </w:r>
    </w:p>
    <w:p w14:paraId="71BFC8CE" w14:textId="77777777" w:rsidR="00D22274" w:rsidRDefault="00D22274" w:rsidP="0081117E">
      <w:pPr>
        <w:tabs>
          <w:tab w:val="left" w:pos="8647"/>
        </w:tabs>
        <w:ind w:left="426" w:right="1077" w:hanging="426"/>
        <w:jc w:val="both"/>
        <w:rPr>
          <w:rFonts w:eastAsiaTheme="minorHAnsi" w:cs="Arial"/>
          <w:b/>
          <w:color w:val="auto"/>
          <w:lang w:eastAsia="en-US"/>
        </w:rPr>
      </w:pPr>
    </w:p>
    <w:p w14:paraId="658774AE" w14:textId="77777777" w:rsidR="00203C5C" w:rsidRPr="0081117E" w:rsidRDefault="00C905BB" w:rsidP="0081117E">
      <w:pPr>
        <w:tabs>
          <w:tab w:val="left" w:pos="8647"/>
        </w:tabs>
        <w:ind w:left="426" w:right="1077" w:hanging="426"/>
        <w:jc w:val="both"/>
        <w:rPr>
          <w:rFonts w:eastAsiaTheme="minorHAnsi" w:cs="Arial"/>
          <w:b/>
          <w:color w:val="auto"/>
          <w:lang w:eastAsia="en-US"/>
        </w:rPr>
      </w:pPr>
      <w:r w:rsidRPr="0081117E">
        <w:rPr>
          <w:rFonts w:eastAsiaTheme="minorHAnsi" w:cs="Arial"/>
          <w:b/>
          <w:color w:val="auto"/>
          <w:lang w:eastAsia="en-US"/>
        </w:rPr>
        <w:t>F</w:t>
      </w:r>
      <w:r w:rsidR="00203C5C" w:rsidRPr="0081117E">
        <w:rPr>
          <w:rFonts w:eastAsiaTheme="minorHAnsi" w:cs="Arial"/>
          <w:b/>
          <w:color w:val="auto"/>
          <w:lang w:eastAsia="en-US"/>
        </w:rPr>
        <w:t xml:space="preserve">inancial Implications </w:t>
      </w:r>
    </w:p>
    <w:p w14:paraId="18941C24" w14:textId="77777777" w:rsidR="0041652A" w:rsidRDefault="00477BE1" w:rsidP="002D085C">
      <w:pPr>
        <w:pStyle w:val="Numberedlist"/>
        <w:numPr>
          <w:ilvl w:val="0"/>
          <w:numId w:val="7"/>
        </w:numPr>
        <w:rPr>
          <w:rFonts w:eastAsiaTheme="minorHAnsi" w:cs="Arial"/>
          <w:color w:val="auto"/>
          <w:lang w:eastAsia="en-US"/>
        </w:rPr>
      </w:pPr>
      <w:r w:rsidRPr="00A10491">
        <w:rPr>
          <w:rFonts w:eastAsiaTheme="minorHAnsi" w:cs="Arial"/>
          <w:color w:val="auto"/>
          <w:lang w:eastAsia="en-US"/>
        </w:rPr>
        <w:t>There are no</w:t>
      </w:r>
      <w:r w:rsidR="00CA66C2">
        <w:rPr>
          <w:rFonts w:eastAsiaTheme="minorHAnsi" w:cs="Arial"/>
          <w:color w:val="auto"/>
          <w:lang w:eastAsia="en-US"/>
        </w:rPr>
        <w:t xml:space="preserve"> new</w:t>
      </w:r>
      <w:r w:rsidRPr="00A10491">
        <w:rPr>
          <w:rFonts w:eastAsiaTheme="minorHAnsi" w:cs="Arial"/>
          <w:color w:val="auto"/>
          <w:lang w:eastAsia="en-US"/>
        </w:rPr>
        <w:t xml:space="preserve"> financial implications arising directly from this report.</w:t>
      </w:r>
      <w:r w:rsidR="00CA66C2">
        <w:rPr>
          <w:rFonts w:eastAsiaTheme="minorHAnsi" w:cs="Arial"/>
          <w:color w:val="auto"/>
          <w:lang w:eastAsia="en-US"/>
        </w:rPr>
        <w:t xml:space="preserve"> </w:t>
      </w:r>
    </w:p>
    <w:p w14:paraId="05085E42" w14:textId="77777777" w:rsidR="007179A2" w:rsidRDefault="007179A2" w:rsidP="0081117E">
      <w:pPr>
        <w:tabs>
          <w:tab w:val="left" w:pos="8647"/>
        </w:tabs>
        <w:ind w:left="426" w:right="1077" w:hanging="426"/>
        <w:jc w:val="both"/>
        <w:rPr>
          <w:rFonts w:eastAsiaTheme="minorHAnsi" w:cs="Arial"/>
          <w:b/>
          <w:color w:val="auto"/>
          <w:lang w:eastAsia="en-US"/>
        </w:rPr>
      </w:pPr>
    </w:p>
    <w:p w14:paraId="2D14C0E7" w14:textId="77777777" w:rsidR="0041652A" w:rsidRPr="0081117E" w:rsidRDefault="00477BE1" w:rsidP="0081117E">
      <w:pPr>
        <w:tabs>
          <w:tab w:val="left" w:pos="8647"/>
        </w:tabs>
        <w:ind w:left="426" w:right="1077" w:hanging="426"/>
        <w:jc w:val="both"/>
        <w:rPr>
          <w:rFonts w:eastAsiaTheme="minorHAnsi" w:cs="Arial"/>
          <w:b/>
          <w:color w:val="auto"/>
          <w:lang w:eastAsia="en-US"/>
        </w:rPr>
      </w:pPr>
      <w:r w:rsidRPr="0081117E">
        <w:rPr>
          <w:rFonts w:eastAsiaTheme="minorHAnsi" w:cs="Arial"/>
          <w:b/>
          <w:color w:val="auto"/>
          <w:lang w:eastAsia="en-US"/>
        </w:rPr>
        <w:t>Legal</w:t>
      </w:r>
      <w:r w:rsidR="0041652A" w:rsidRPr="0081117E">
        <w:rPr>
          <w:rFonts w:eastAsiaTheme="minorHAnsi" w:cs="Arial"/>
          <w:b/>
          <w:color w:val="auto"/>
          <w:lang w:eastAsia="en-US"/>
        </w:rPr>
        <w:t xml:space="preserve"> Implications </w:t>
      </w:r>
    </w:p>
    <w:p w14:paraId="103916DE" w14:textId="77777777" w:rsidR="0041652A" w:rsidRDefault="0041652A" w:rsidP="002D085C">
      <w:pPr>
        <w:pStyle w:val="Numberedlist"/>
        <w:numPr>
          <w:ilvl w:val="0"/>
          <w:numId w:val="7"/>
        </w:numPr>
        <w:tabs>
          <w:tab w:val="clear" w:pos="993"/>
        </w:tabs>
        <w:rPr>
          <w:rFonts w:eastAsiaTheme="minorHAnsi" w:cs="Arial"/>
          <w:color w:val="auto"/>
          <w:lang w:eastAsia="en-US"/>
        </w:rPr>
      </w:pPr>
      <w:r w:rsidRPr="00A10491">
        <w:rPr>
          <w:rFonts w:eastAsiaTheme="minorHAnsi" w:cs="Arial"/>
          <w:color w:val="auto"/>
          <w:lang w:eastAsia="en-US"/>
        </w:rPr>
        <w:t xml:space="preserve">There are no </w:t>
      </w:r>
      <w:r w:rsidR="00477BE1" w:rsidRPr="00A10491">
        <w:rPr>
          <w:rFonts w:eastAsiaTheme="minorHAnsi" w:cs="Arial"/>
          <w:color w:val="auto"/>
          <w:lang w:eastAsia="en-US"/>
        </w:rPr>
        <w:t>legal implications arising directly from this report.</w:t>
      </w:r>
      <w:r w:rsidR="00EC7BFC">
        <w:rPr>
          <w:rFonts w:eastAsiaTheme="minorHAnsi" w:cs="Arial"/>
          <w:color w:val="auto"/>
          <w:lang w:eastAsia="en-US"/>
        </w:rPr>
        <w:t xml:space="preserve"> </w:t>
      </w:r>
    </w:p>
    <w:p w14:paraId="792EF7EB" w14:textId="77777777" w:rsidR="00F524C3" w:rsidRDefault="00F524C3" w:rsidP="00801432">
      <w:pPr>
        <w:spacing w:after="0"/>
        <w:ind w:right="-29"/>
        <w:jc w:val="both"/>
        <w:rPr>
          <w:rFonts w:eastAsiaTheme="minorHAnsi" w:cs="Arial"/>
          <w:color w:val="auto"/>
          <w:lang w:eastAsia="en-US"/>
        </w:rPr>
      </w:pPr>
    </w:p>
    <w:p w14:paraId="19E9F832" w14:textId="77777777" w:rsidR="007179A2" w:rsidRPr="00F524C3" w:rsidRDefault="007179A2" w:rsidP="00801432">
      <w:pPr>
        <w:spacing w:after="0"/>
        <w:ind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14:paraId="44532376" w14:textId="77777777" w:rsidTr="00C65134">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14:paraId="3FE35986" w14:textId="77777777" w:rsidR="00E87F7A" w:rsidRPr="00575235" w:rsidRDefault="00E87F7A" w:rsidP="00801432">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14:paraId="0FEE4ED6" w14:textId="77777777" w:rsidR="00E87F7A" w:rsidRPr="00575235" w:rsidRDefault="00FC2362" w:rsidP="00801432">
            <w:pPr>
              <w:tabs>
                <w:tab w:val="left" w:pos="8647"/>
              </w:tabs>
              <w:spacing w:after="0"/>
              <w:ind w:right="1076"/>
              <w:rPr>
                <w:rFonts w:cs="Arial"/>
              </w:rPr>
            </w:pPr>
            <w:r>
              <w:rPr>
                <w:rFonts w:cs="Arial"/>
              </w:rPr>
              <w:t>Sarah Knight</w:t>
            </w:r>
          </w:p>
        </w:tc>
      </w:tr>
      <w:tr w:rsidR="0041652A" w:rsidRPr="00575235" w14:paraId="1302FA00" w14:textId="77777777" w:rsidTr="00C65134">
        <w:trPr>
          <w:cantSplit/>
          <w:trHeight w:val="541"/>
        </w:trPr>
        <w:tc>
          <w:tcPr>
            <w:tcW w:w="3878" w:type="dxa"/>
            <w:tcBorders>
              <w:top w:val="single" w:sz="8" w:space="0" w:color="000000"/>
              <w:left w:val="single" w:sz="8" w:space="0" w:color="000000"/>
              <w:bottom w:val="nil"/>
              <w:right w:val="nil"/>
            </w:tcBorders>
            <w:shd w:val="clear" w:color="auto" w:fill="auto"/>
          </w:tcPr>
          <w:p w14:paraId="448436CA" w14:textId="77777777" w:rsidR="0041652A" w:rsidRPr="00FB5DE4" w:rsidRDefault="0041652A" w:rsidP="00FB5DE4">
            <w:pPr>
              <w:spacing w:after="0"/>
              <w:rPr>
                <w:rFonts w:cs="Arial"/>
              </w:rPr>
            </w:pPr>
            <w:r>
              <w:rPr>
                <w:rFonts w:cs="Arial"/>
              </w:rPr>
              <w:t>Job titl</w:t>
            </w:r>
            <w:r w:rsidR="00FB5DE4">
              <w:rPr>
                <w:rFonts w:cs="Arial"/>
              </w:rPr>
              <w:t>e</w:t>
            </w:r>
          </w:p>
        </w:tc>
        <w:tc>
          <w:tcPr>
            <w:tcW w:w="4896" w:type="dxa"/>
            <w:tcBorders>
              <w:top w:val="single" w:sz="8" w:space="0" w:color="000000"/>
              <w:left w:val="nil"/>
              <w:bottom w:val="nil"/>
              <w:right w:val="single" w:sz="8" w:space="0" w:color="000000"/>
            </w:tcBorders>
            <w:shd w:val="clear" w:color="auto" w:fill="auto"/>
          </w:tcPr>
          <w:p w14:paraId="1F36C3D1" w14:textId="77777777" w:rsidR="0041652A" w:rsidRPr="00575235" w:rsidRDefault="00FC2362" w:rsidP="00A20236">
            <w:pPr>
              <w:spacing w:after="0"/>
              <w:rPr>
                <w:rFonts w:cs="Arial"/>
              </w:rPr>
            </w:pPr>
            <w:r>
              <w:rPr>
                <w:rFonts w:cs="Arial"/>
              </w:rPr>
              <w:t>Head of Development</w:t>
            </w:r>
            <w:r w:rsidR="0033740F">
              <w:rPr>
                <w:rFonts w:cs="Arial"/>
              </w:rPr>
              <w:t xml:space="preserve"> </w:t>
            </w:r>
          </w:p>
        </w:tc>
      </w:tr>
      <w:tr w:rsidR="00F524C3" w:rsidRPr="00575235" w14:paraId="6EE3FE9D" w14:textId="77777777" w:rsidTr="00C65134">
        <w:trPr>
          <w:cantSplit/>
          <w:trHeight w:val="440"/>
        </w:trPr>
        <w:tc>
          <w:tcPr>
            <w:tcW w:w="3878" w:type="dxa"/>
            <w:tcBorders>
              <w:top w:val="nil"/>
              <w:left w:val="single" w:sz="8" w:space="0" w:color="000000"/>
              <w:bottom w:val="nil"/>
              <w:right w:val="nil"/>
            </w:tcBorders>
            <w:shd w:val="clear" w:color="auto" w:fill="auto"/>
          </w:tcPr>
          <w:p w14:paraId="743D9A01" w14:textId="77777777" w:rsidR="00F524C3" w:rsidRDefault="00F524C3" w:rsidP="00F524C3">
            <w:pPr>
              <w:spacing w:after="0"/>
              <w:rPr>
                <w:rFonts w:cs="Arial"/>
              </w:rPr>
            </w:pPr>
            <w:r>
              <w:rPr>
                <w:rFonts w:cs="Arial"/>
              </w:rPr>
              <w:t>Service area or department</w:t>
            </w:r>
          </w:p>
          <w:p w14:paraId="7A4A078E" w14:textId="77777777" w:rsidR="00F524C3" w:rsidRDefault="00F524C3" w:rsidP="00F524C3">
            <w:pPr>
              <w:tabs>
                <w:tab w:val="left" w:pos="8647"/>
              </w:tabs>
              <w:spacing w:after="0"/>
              <w:ind w:right="1076"/>
              <w:rPr>
                <w:rFonts w:cs="Arial"/>
              </w:rPr>
            </w:pPr>
          </w:p>
        </w:tc>
        <w:tc>
          <w:tcPr>
            <w:tcW w:w="4896" w:type="dxa"/>
            <w:tcBorders>
              <w:top w:val="nil"/>
              <w:left w:val="nil"/>
              <w:bottom w:val="nil"/>
              <w:right w:val="single" w:sz="8" w:space="0" w:color="000000"/>
            </w:tcBorders>
            <w:shd w:val="clear" w:color="auto" w:fill="auto"/>
          </w:tcPr>
          <w:p w14:paraId="0510C1B5" w14:textId="77777777" w:rsidR="00F524C3" w:rsidRDefault="003505FA" w:rsidP="0033740F">
            <w:pPr>
              <w:spacing w:after="0"/>
              <w:rPr>
                <w:rFonts w:cs="Arial"/>
              </w:rPr>
            </w:pPr>
            <w:r>
              <w:rPr>
                <w:rFonts w:cs="Arial"/>
              </w:rPr>
              <w:t>Housing Services</w:t>
            </w:r>
          </w:p>
        </w:tc>
      </w:tr>
      <w:tr w:rsidR="00F524C3" w:rsidRPr="00575235" w14:paraId="5231EB6D" w14:textId="77777777" w:rsidTr="00C65134">
        <w:trPr>
          <w:cantSplit/>
          <w:trHeight w:val="480"/>
        </w:trPr>
        <w:tc>
          <w:tcPr>
            <w:tcW w:w="3878" w:type="dxa"/>
            <w:tcBorders>
              <w:top w:val="nil"/>
              <w:left w:val="single" w:sz="8" w:space="0" w:color="000000"/>
              <w:bottom w:val="nil"/>
              <w:right w:val="nil"/>
            </w:tcBorders>
            <w:shd w:val="clear" w:color="auto" w:fill="auto"/>
          </w:tcPr>
          <w:p w14:paraId="3BABC047" w14:textId="77777777"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nil"/>
              <w:left w:val="nil"/>
              <w:bottom w:val="nil"/>
              <w:right w:val="single" w:sz="8" w:space="0" w:color="000000"/>
            </w:tcBorders>
            <w:shd w:val="clear" w:color="auto" w:fill="auto"/>
          </w:tcPr>
          <w:p w14:paraId="46FC255B" w14:textId="77777777" w:rsidR="00F524C3" w:rsidRDefault="00FC2362" w:rsidP="00F524C3">
            <w:pPr>
              <w:tabs>
                <w:tab w:val="left" w:pos="8647"/>
              </w:tabs>
              <w:spacing w:after="0"/>
              <w:ind w:right="1076"/>
              <w:rPr>
                <w:rFonts w:cs="Arial"/>
              </w:rPr>
            </w:pPr>
            <w:r w:rsidRPr="00FC2362">
              <w:rPr>
                <w:rFonts w:cs="Arial"/>
              </w:rPr>
              <w:t>07483010867</w:t>
            </w:r>
          </w:p>
        </w:tc>
      </w:tr>
      <w:tr w:rsidR="0041652A" w:rsidRPr="00575235" w14:paraId="62BE3A66" w14:textId="77777777" w:rsidTr="00C65134">
        <w:trPr>
          <w:cantSplit/>
          <w:trHeight w:val="396"/>
        </w:trPr>
        <w:tc>
          <w:tcPr>
            <w:tcW w:w="3878" w:type="dxa"/>
            <w:tcBorders>
              <w:top w:val="nil"/>
              <w:left w:val="single" w:sz="8" w:space="0" w:color="000000"/>
              <w:bottom w:val="single" w:sz="4" w:space="0" w:color="auto"/>
              <w:right w:val="nil"/>
            </w:tcBorders>
            <w:shd w:val="clear" w:color="auto" w:fill="auto"/>
          </w:tcPr>
          <w:p w14:paraId="6021867E" w14:textId="77777777"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nil"/>
              <w:left w:val="nil"/>
              <w:bottom w:val="single" w:sz="4" w:space="0" w:color="auto"/>
              <w:right w:val="single" w:sz="8" w:space="0" w:color="000000"/>
            </w:tcBorders>
            <w:shd w:val="clear" w:color="auto" w:fill="auto"/>
          </w:tcPr>
          <w:p w14:paraId="01317E12" w14:textId="77777777" w:rsidR="0041652A" w:rsidRPr="00575235" w:rsidRDefault="00FC2362" w:rsidP="003505FA">
            <w:pPr>
              <w:tabs>
                <w:tab w:val="left" w:pos="8647"/>
              </w:tabs>
              <w:spacing w:after="0"/>
              <w:ind w:right="1076"/>
              <w:rPr>
                <w:rFonts w:cs="Arial"/>
              </w:rPr>
            </w:pPr>
            <w:r>
              <w:rPr>
                <w:rStyle w:val="Hyperlink"/>
              </w:rPr>
              <w:t>sknight@oxford.gov.uk</w:t>
            </w:r>
          </w:p>
        </w:tc>
      </w:tr>
    </w:tbl>
    <w:p w14:paraId="36D34E4C" w14:textId="5E74169E" w:rsidR="00176634" w:rsidRDefault="00176634" w:rsidP="005F6738">
      <w:pPr>
        <w:spacing w:after="0"/>
        <w:rPr>
          <w:rFonts w:cs="Arial"/>
        </w:rPr>
      </w:pPr>
    </w:p>
    <w:p w14:paraId="2694A0D0" w14:textId="77777777" w:rsidR="00176634" w:rsidRDefault="00176634">
      <w:pPr>
        <w:spacing w:after="0"/>
        <w:rPr>
          <w:rFonts w:cs="Arial"/>
        </w:rPr>
      </w:pPr>
      <w:r>
        <w:rPr>
          <w:rFonts w:cs="Arial"/>
        </w:rPr>
        <w:br w:type="page"/>
      </w:r>
    </w:p>
    <w:p w14:paraId="7327F1CC" w14:textId="42D6806F" w:rsidR="00D81CEF" w:rsidRPr="00C65134" w:rsidRDefault="00176634" w:rsidP="005F6738">
      <w:pPr>
        <w:spacing w:after="0"/>
        <w:rPr>
          <w:rFonts w:cs="Arial"/>
          <w:b/>
        </w:rPr>
      </w:pPr>
      <w:r w:rsidRPr="00C65134">
        <w:rPr>
          <w:rFonts w:cs="Arial"/>
          <w:b/>
        </w:rPr>
        <w:lastRenderedPageBreak/>
        <w:t xml:space="preserve">Appendix 1 – CEP Q1 2023 Results </w:t>
      </w:r>
    </w:p>
    <w:p w14:paraId="658A6A88" w14:textId="77777777" w:rsidR="00176634" w:rsidRDefault="00176634" w:rsidP="005F6738">
      <w:pPr>
        <w:spacing w:after="0"/>
        <w:rPr>
          <w:rFonts w:cs="Arial"/>
        </w:rPr>
      </w:pPr>
    </w:p>
    <w:p w14:paraId="66863849" w14:textId="5F1AD40B" w:rsidR="00176634" w:rsidRDefault="00176634" w:rsidP="005F6738">
      <w:pPr>
        <w:spacing w:after="0"/>
        <w:rPr>
          <w:rFonts w:cs="Arial"/>
        </w:rPr>
      </w:pPr>
      <w:r>
        <w:rPr>
          <w:rFonts w:cs="Arial"/>
          <w:noProof/>
        </w:rPr>
        <w:drawing>
          <wp:inline distT="0" distB="0" distL="0" distR="0" wp14:anchorId="2345821D" wp14:editId="6332B624">
            <wp:extent cx="6172200" cy="63976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82C9C.tmp"/>
                    <pic:cNvPicPr/>
                  </pic:nvPicPr>
                  <pic:blipFill rotWithShape="1">
                    <a:blip r:embed="rId8">
                      <a:extLst>
                        <a:ext uri="{28A0092B-C50C-407E-A947-70E740481C1C}">
                          <a14:useLocalDpi xmlns:a14="http://schemas.microsoft.com/office/drawing/2010/main" val="0"/>
                        </a:ext>
                      </a:extLst>
                    </a:blip>
                    <a:srcRect t="4944"/>
                    <a:stretch/>
                  </pic:blipFill>
                  <pic:spPr bwMode="auto">
                    <a:xfrm>
                      <a:off x="0" y="0"/>
                      <a:ext cx="6175021" cy="6400543"/>
                    </a:xfrm>
                    <a:prstGeom prst="rect">
                      <a:avLst/>
                    </a:prstGeom>
                    <a:ln>
                      <a:noFill/>
                    </a:ln>
                    <a:extLst>
                      <a:ext uri="{53640926-AAD7-44D8-BBD7-CCE9431645EC}">
                        <a14:shadowObscured xmlns:a14="http://schemas.microsoft.com/office/drawing/2010/main"/>
                      </a:ext>
                    </a:extLst>
                  </pic:spPr>
                </pic:pic>
              </a:graphicData>
            </a:graphic>
          </wp:inline>
        </w:drawing>
      </w:r>
    </w:p>
    <w:sectPr w:rsidR="00176634" w:rsidSect="00D81CEF">
      <w:headerReference w:type="default" r:id="rId9"/>
      <w:footerReference w:type="even" r:id="rId10"/>
      <w:footerReference w:type="default" r:id="rId11"/>
      <w:headerReference w:type="first" r:id="rId12"/>
      <w:footerReference w:type="first" r:id="rId13"/>
      <w:pgSz w:w="11906" w:h="16838" w:code="9"/>
      <w:pgMar w:top="1418" w:right="1700"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25AD" w14:textId="77777777" w:rsidR="003C4A9F" w:rsidRDefault="003C4A9F" w:rsidP="004A6D2F">
      <w:r>
        <w:separator/>
      </w:r>
    </w:p>
  </w:endnote>
  <w:endnote w:type="continuationSeparator" w:id="0">
    <w:p w14:paraId="0DB730C0" w14:textId="77777777" w:rsidR="003C4A9F" w:rsidRDefault="003C4A9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6603" w14:textId="77777777" w:rsidR="00707C98" w:rsidRDefault="00707C98" w:rsidP="004A6D2F">
    <w:pPr>
      <w:pStyle w:val="Footer"/>
    </w:pPr>
    <w:r>
      <w:t>Do not use a footer or page numbers.</w:t>
    </w:r>
  </w:p>
  <w:p w14:paraId="3008535D" w14:textId="77777777" w:rsidR="00707C98" w:rsidRDefault="00707C98" w:rsidP="004A6D2F">
    <w:pPr>
      <w:pStyle w:val="Footer"/>
    </w:pPr>
  </w:p>
  <w:p w14:paraId="4A72DB32" w14:textId="77777777"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4DC6" w14:textId="77777777" w:rsidR="00702F10" w:rsidRDefault="00702F10">
    <w:pPr>
      <w:pStyle w:val="Footer"/>
      <w:jc w:val="right"/>
    </w:pPr>
  </w:p>
  <w:p w14:paraId="3B0754BC" w14:textId="77777777"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3EBF" w14:textId="77777777"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8BD9E" w14:textId="77777777" w:rsidR="003C4A9F" w:rsidRDefault="003C4A9F" w:rsidP="004A6D2F">
      <w:r>
        <w:separator/>
      </w:r>
    </w:p>
  </w:footnote>
  <w:footnote w:type="continuationSeparator" w:id="0">
    <w:p w14:paraId="39E32CB4" w14:textId="77777777" w:rsidR="003C4A9F" w:rsidRDefault="003C4A9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CB8C" w14:textId="77777777"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79E2" w14:textId="36886D93" w:rsidR="00707C98" w:rsidRDefault="00707C98" w:rsidP="00D5547E">
    <w:pPr>
      <w:pStyle w:val="Header"/>
      <w:jc w:val="right"/>
    </w:pPr>
    <w:r>
      <w:rPr>
        <w:noProof/>
      </w:rPr>
      <w:drawing>
        <wp:inline distT="0" distB="0" distL="0" distR="0" wp14:anchorId="3BA6EA5D" wp14:editId="0D79BDB1">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567FDBB2" w14:textId="77777777"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F017E"/>
    <w:multiLevelType w:val="hybridMultilevel"/>
    <w:tmpl w:val="0CB8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32AC6"/>
    <w:multiLevelType w:val="hybridMultilevel"/>
    <w:tmpl w:val="4B6265E2"/>
    <w:lvl w:ilvl="0" w:tplc="F7787C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80353"/>
    <w:multiLevelType w:val="hybridMultilevel"/>
    <w:tmpl w:val="61F2135E"/>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1753C"/>
    <w:multiLevelType w:val="hybridMultilevel"/>
    <w:tmpl w:val="61F2135E"/>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25D85"/>
    <w:multiLevelType w:val="hybridMultilevel"/>
    <w:tmpl w:val="CA023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23C5E"/>
    <w:multiLevelType w:val="hybridMultilevel"/>
    <w:tmpl w:val="97D8E2FA"/>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160292C2"/>
    <w:lvl w:ilvl="0">
      <w:start w:val="1"/>
      <w:numFmt w:val="decimal"/>
      <w:pStyle w:val="Numberedlist"/>
      <w:lvlText w:val="%1."/>
      <w:lvlJc w:val="left"/>
      <w:pPr>
        <w:ind w:left="-129" w:hanging="360"/>
      </w:pPr>
      <w:rPr>
        <w:rFonts w:ascii="Arial" w:hAnsi="Arial"/>
        <w:b/>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11" w15:restartNumberingAfterBreak="0">
    <w:nsid w:val="798365C6"/>
    <w:multiLevelType w:val="multilevel"/>
    <w:tmpl w:val="E67CE66C"/>
    <w:numStyleLink w:val="StyleNumberedLeft0cmHanging075cm"/>
  </w:abstractNum>
  <w:num w:numId="1">
    <w:abstractNumId w:val="0"/>
  </w:num>
  <w:num w:numId="2">
    <w:abstractNumId w:val="11"/>
  </w:num>
  <w:num w:numId="3">
    <w:abstractNumId w:val="4"/>
  </w:num>
  <w:num w:numId="4">
    <w:abstractNumId w:val="1"/>
  </w:num>
  <w:num w:numId="5">
    <w:abstractNumId w:val="10"/>
  </w:num>
  <w:num w:numId="6">
    <w:abstractNumId w:val="5"/>
  </w:num>
  <w:num w:numId="7">
    <w:abstractNumId w:val="7"/>
  </w:num>
  <w:num w:numId="8">
    <w:abstractNumId w:val="3"/>
  </w:num>
  <w:num w:numId="9">
    <w:abstractNumId w:val="9"/>
  </w:num>
  <w:num w:numId="10">
    <w:abstractNumId w:val="6"/>
  </w:num>
  <w:num w:numId="11">
    <w:abstractNumId w:val="2"/>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586E"/>
    <w:rsid w:val="00020C83"/>
    <w:rsid w:val="00021A91"/>
    <w:rsid w:val="000268C8"/>
    <w:rsid w:val="000314D7"/>
    <w:rsid w:val="0003185A"/>
    <w:rsid w:val="00032003"/>
    <w:rsid w:val="0004337E"/>
    <w:rsid w:val="00045F8B"/>
    <w:rsid w:val="00046D2B"/>
    <w:rsid w:val="00056263"/>
    <w:rsid w:val="00064D8A"/>
    <w:rsid w:val="00064F82"/>
    <w:rsid w:val="00066510"/>
    <w:rsid w:val="000667FD"/>
    <w:rsid w:val="0007094D"/>
    <w:rsid w:val="00072B72"/>
    <w:rsid w:val="00075CCD"/>
    <w:rsid w:val="00077523"/>
    <w:rsid w:val="00084A07"/>
    <w:rsid w:val="00085C08"/>
    <w:rsid w:val="00092025"/>
    <w:rsid w:val="000947DC"/>
    <w:rsid w:val="000A6DE2"/>
    <w:rsid w:val="000B099A"/>
    <w:rsid w:val="000B1C69"/>
    <w:rsid w:val="000B2C57"/>
    <w:rsid w:val="000B371A"/>
    <w:rsid w:val="000C04B4"/>
    <w:rsid w:val="000C089F"/>
    <w:rsid w:val="000C3928"/>
    <w:rsid w:val="000C5E8E"/>
    <w:rsid w:val="000C7318"/>
    <w:rsid w:val="000D4345"/>
    <w:rsid w:val="000E1CFC"/>
    <w:rsid w:val="000E3620"/>
    <w:rsid w:val="000F417B"/>
    <w:rsid w:val="000F4481"/>
    <w:rsid w:val="000F4751"/>
    <w:rsid w:val="000F4892"/>
    <w:rsid w:val="000F6C7B"/>
    <w:rsid w:val="00101AE2"/>
    <w:rsid w:val="0010524C"/>
    <w:rsid w:val="0010763E"/>
    <w:rsid w:val="00107E75"/>
    <w:rsid w:val="00111FB1"/>
    <w:rsid w:val="00113418"/>
    <w:rsid w:val="00114C3E"/>
    <w:rsid w:val="00115F26"/>
    <w:rsid w:val="00133E0C"/>
    <w:rsid w:val="00135426"/>
    <w:rsid w:val="001356F1"/>
    <w:rsid w:val="00135FB6"/>
    <w:rsid w:val="00136994"/>
    <w:rsid w:val="0014128E"/>
    <w:rsid w:val="00141C13"/>
    <w:rsid w:val="00146C4F"/>
    <w:rsid w:val="00151888"/>
    <w:rsid w:val="00151BB0"/>
    <w:rsid w:val="00156BFE"/>
    <w:rsid w:val="001606C2"/>
    <w:rsid w:val="00160901"/>
    <w:rsid w:val="00170A2D"/>
    <w:rsid w:val="00171D89"/>
    <w:rsid w:val="00175E59"/>
    <w:rsid w:val="001761CB"/>
    <w:rsid w:val="00176634"/>
    <w:rsid w:val="001808BC"/>
    <w:rsid w:val="00182B81"/>
    <w:rsid w:val="0018619D"/>
    <w:rsid w:val="00186258"/>
    <w:rsid w:val="00187A9B"/>
    <w:rsid w:val="00190473"/>
    <w:rsid w:val="00195B34"/>
    <w:rsid w:val="001A011E"/>
    <w:rsid w:val="001A066A"/>
    <w:rsid w:val="001A13E6"/>
    <w:rsid w:val="001A530C"/>
    <w:rsid w:val="001A5731"/>
    <w:rsid w:val="001B3EBB"/>
    <w:rsid w:val="001B42C3"/>
    <w:rsid w:val="001B5B45"/>
    <w:rsid w:val="001C3084"/>
    <w:rsid w:val="001C5D5E"/>
    <w:rsid w:val="001D4D6D"/>
    <w:rsid w:val="001D5A64"/>
    <w:rsid w:val="001D5EEF"/>
    <w:rsid w:val="001D678D"/>
    <w:rsid w:val="001E03F8"/>
    <w:rsid w:val="001E1678"/>
    <w:rsid w:val="001E266B"/>
    <w:rsid w:val="001E3376"/>
    <w:rsid w:val="001E6A20"/>
    <w:rsid w:val="001F20DE"/>
    <w:rsid w:val="001F31D2"/>
    <w:rsid w:val="00203C5C"/>
    <w:rsid w:val="00205D92"/>
    <w:rsid w:val="002069B3"/>
    <w:rsid w:val="002162B8"/>
    <w:rsid w:val="002171F4"/>
    <w:rsid w:val="002241ED"/>
    <w:rsid w:val="002329CF"/>
    <w:rsid w:val="00232F5B"/>
    <w:rsid w:val="00247C29"/>
    <w:rsid w:val="00260467"/>
    <w:rsid w:val="00262A9D"/>
    <w:rsid w:val="00263EA3"/>
    <w:rsid w:val="00264568"/>
    <w:rsid w:val="00266669"/>
    <w:rsid w:val="002738A2"/>
    <w:rsid w:val="00281AAF"/>
    <w:rsid w:val="00283B69"/>
    <w:rsid w:val="00284F85"/>
    <w:rsid w:val="00290915"/>
    <w:rsid w:val="00295E03"/>
    <w:rsid w:val="002A100D"/>
    <w:rsid w:val="002A22E2"/>
    <w:rsid w:val="002A2D09"/>
    <w:rsid w:val="002A4510"/>
    <w:rsid w:val="002A678A"/>
    <w:rsid w:val="002B12F2"/>
    <w:rsid w:val="002C64F7"/>
    <w:rsid w:val="002D053C"/>
    <w:rsid w:val="002D085C"/>
    <w:rsid w:val="002D338C"/>
    <w:rsid w:val="002E12A0"/>
    <w:rsid w:val="002E6204"/>
    <w:rsid w:val="002E6689"/>
    <w:rsid w:val="002F41F2"/>
    <w:rsid w:val="00301BF3"/>
    <w:rsid w:val="0030208D"/>
    <w:rsid w:val="003035D9"/>
    <w:rsid w:val="003058CB"/>
    <w:rsid w:val="00307A24"/>
    <w:rsid w:val="003165D8"/>
    <w:rsid w:val="00316F4C"/>
    <w:rsid w:val="00323418"/>
    <w:rsid w:val="003248C5"/>
    <w:rsid w:val="00325AA3"/>
    <w:rsid w:val="003357BF"/>
    <w:rsid w:val="0033740F"/>
    <w:rsid w:val="003464E1"/>
    <w:rsid w:val="003505FA"/>
    <w:rsid w:val="00361C76"/>
    <w:rsid w:val="0036353C"/>
    <w:rsid w:val="0036423D"/>
    <w:rsid w:val="00364FAD"/>
    <w:rsid w:val="0036738F"/>
    <w:rsid w:val="0036759C"/>
    <w:rsid w:val="00367AE5"/>
    <w:rsid w:val="00367D71"/>
    <w:rsid w:val="00370027"/>
    <w:rsid w:val="0037015A"/>
    <w:rsid w:val="00370487"/>
    <w:rsid w:val="00370574"/>
    <w:rsid w:val="00373BD7"/>
    <w:rsid w:val="00375BE2"/>
    <w:rsid w:val="0038150A"/>
    <w:rsid w:val="00383190"/>
    <w:rsid w:val="0039194E"/>
    <w:rsid w:val="0039357B"/>
    <w:rsid w:val="00395737"/>
    <w:rsid w:val="003A26FD"/>
    <w:rsid w:val="003A411C"/>
    <w:rsid w:val="003A5955"/>
    <w:rsid w:val="003A76C8"/>
    <w:rsid w:val="003B0980"/>
    <w:rsid w:val="003B1712"/>
    <w:rsid w:val="003B6E75"/>
    <w:rsid w:val="003B7DA1"/>
    <w:rsid w:val="003C1F13"/>
    <w:rsid w:val="003C4A9F"/>
    <w:rsid w:val="003C5012"/>
    <w:rsid w:val="003C5775"/>
    <w:rsid w:val="003D0379"/>
    <w:rsid w:val="003D1756"/>
    <w:rsid w:val="003D2574"/>
    <w:rsid w:val="003D4C59"/>
    <w:rsid w:val="003D5EF8"/>
    <w:rsid w:val="003E18C9"/>
    <w:rsid w:val="003E691E"/>
    <w:rsid w:val="003F4267"/>
    <w:rsid w:val="003F51F4"/>
    <w:rsid w:val="00401348"/>
    <w:rsid w:val="00404032"/>
    <w:rsid w:val="0040736F"/>
    <w:rsid w:val="00412C1F"/>
    <w:rsid w:val="0041439C"/>
    <w:rsid w:val="0041652A"/>
    <w:rsid w:val="0042030E"/>
    <w:rsid w:val="00420DB0"/>
    <w:rsid w:val="004211ED"/>
    <w:rsid w:val="00421CB2"/>
    <w:rsid w:val="0042362D"/>
    <w:rsid w:val="00424630"/>
    <w:rsid w:val="004268B9"/>
    <w:rsid w:val="00433B96"/>
    <w:rsid w:val="004365F8"/>
    <w:rsid w:val="004440F1"/>
    <w:rsid w:val="004456DD"/>
    <w:rsid w:val="00446CDF"/>
    <w:rsid w:val="00450474"/>
    <w:rsid w:val="00452055"/>
    <w:rsid w:val="004521B7"/>
    <w:rsid w:val="004548E3"/>
    <w:rsid w:val="00457873"/>
    <w:rsid w:val="00462AB5"/>
    <w:rsid w:val="004653AD"/>
    <w:rsid w:val="00465EAF"/>
    <w:rsid w:val="004711FC"/>
    <w:rsid w:val="004738C5"/>
    <w:rsid w:val="00473F3E"/>
    <w:rsid w:val="00475860"/>
    <w:rsid w:val="004769C3"/>
    <w:rsid w:val="00477BE1"/>
    <w:rsid w:val="004804B9"/>
    <w:rsid w:val="00484329"/>
    <w:rsid w:val="00487092"/>
    <w:rsid w:val="00491046"/>
    <w:rsid w:val="00495B13"/>
    <w:rsid w:val="00495E00"/>
    <w:rsid w:val="004A043B"/>
    <w:rsid w:val="004A27B5"/>
    <w:rsid w:val="004A2AC7"/>
    <w:rsid w:val="004A3E93"/>
    <w:rsid w:val="004A6D2F"/>
    <w:rsid w:val="004B1835"/>
    <w:rsid w:val="004C0C86"/>
    <w:rsid w:val="004C2887"/>
    <w:rsid w:val="004D2626"/>
    <w:rsid w:val="004D5017"/>
    <w:rsid w:val="004D6E26"/>
    <w:rsid w:val="004D77D3"/>
    <w:rsid w:val="004E2959"/>
    <w:rsid w:val="004E4229"/>
    <w:rsid w:val="004F20EF"/>
    <w:rsid w:val="004F58F7"/>
    <w:rsid w:val="004F623F"/>
    <w:rsid w:val="004F6894"/>
    <w:rsid w:val="004F7774"/>
    <w:rsid w:val="00502412"/>
    <w:rsid w:val="0050321C"/>
    <w:rsid w:val="00505EA4"/>
    <w:rsid w:val="00507FE0"/>
    <w:rsid w:val="00525F6A"/>
    <w:rsid w:val="005268C5"/>
    <w:rsid w:val="00532C6A"/>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9426E"/>
    <w:rsid w:val="005A10AD"/>
    <w:rsid w:val="005A1B43"/>
    <w:rsid w:val="005A34C6"/>
    <w:rsid w:val="005A34E4"/>
    <w:rsid w:val="005A4E71"/>
    <w:rsid w:val="005A60D1"/>
    <w:rsid w:val="005B17F2"/>
    <w:rsid w:val="005B195B"/>
    <w:rsid w:val="005B51E9"/>
    <w:rsid w:val="005B757B"/>
    <w:rsid w:val="005B7FB0"/>
    <w:rsid w:val="005C35A5"/>
    <w:rsid w:val="005C3B91"/>
    <w:rsid w:val="005C577C"/>
    <w:rsid w:val="005C7E85"/>
    <w:rsid w:val="005D0621"/>
    <w:rsid w:val="005D1E27"/>
    <w:rsid w:val="005D2A3E"/>
    <w:rsid w:val="005D6973"/>
    <w:rsid w:val="005E022E"/>
    <w:rsid w:val="005E38FD"/>
    <w:rsid w:val="005E4D5E"/>
    <w:rsid w:val="005E5215"/>
    <w:rsid w:val="005F0738"/>
    <w:rsid w:val="005F36B2"/>
    <w:rsid w:val="005F3F9E"/>
    <w:rsid w:val="005F652A"/>
    <w:rsid w:val="005F6738"/>
    <w:rsid w:val="005F7F7E"/>
    <w:rsid w:val="00607D7C"/>
    <w:rsid w:val="00612897"/>
    <w:rsid w:val="00614693"/>
    <w:rsid w:val="00623C2F"/>
    <w:rsid w:val="00627066"/>
    <w:rsid w:val="00632FA6"/>
    <w:rsid w:val="00633578"/>
    <w:rsid w:val="00634AB9"/>
    <w:rsid w:val="00636D62"/>
    <w:rsid w:val="00637068"/>
    <w:rsid w:val="00640036"/>
    <w:rsid w:val="00645945"/>
    <w:rsid w:val="00645BA8"/>
    <w:rsid w:val="00650811"/>
    <w:rsid w:val="00650C9D"/>
    <w:rsid w:val="00656FDA"/>
    <w:rsid w:val="00661D3E"/>
    <w:rsid w:val="006628EA"/>
    <w:rsid w:val="00667551"/>
    <w:rsid w:val="0068312A"/>
    <w:rsid w:val="00692627"/>
    <w:rsid w:val="00693EC9"/>
    <w:rsid w:val="00694382"/>
    <w:rsid w:val="006951D2"/>
    <w:rsid w:val="00696156"/>
    <w:rsid w:val="0069627F"/>
    <w:rsid w:val="006969E7"/>
    <w:rsid w:val="006A3595"/>
    <w:rsid w:val="006A3643"/>
    <w:rsid w:val="006A54BD"/>
    <w:rsid w:val="006C2A29"/>
    <w:rsid w:val="006C64CF"/>
    <w:rsid w:val="006C6D5D"/>
    <w:rsid w:val="006D052F"/>
    <w:rsid w:val="006D17B1"/>
    <w:rsid w:val="006D36D4"/>
    <w:rsid w:val="006D4752"/>
    <w:rsid w:val="006D708A"/>
    <w:rsid w:val="006E14C1"/>
    <w:rsid w:val="006E2ADB"/>
    <w:rsid w:val="006F0292"/>
    <w:rsid w:val="006F27FA"/>
    <w:rsid w:val="006F416B"/>
    <w:rsid w:val="006F519B"/>
    <w:rsid w:val="00702F10"/>
    <w:rsid w:val="0070374C"/>
    <w:rsid w:val="00707C98"/>
    <w:rsid w:val="00711AB0"/>
    <w:rsid w:val="00713675"/>
    <w:rsid w:val="00715823"/>
    <w:rsid w:val="007179A2"/>
    <w:rsid w:val="00724962"/>
    <w:rsid w:val="00730749"/>
    <w:rsid w:val="007337DF"/>
    <w:rsid w:val="0073566C"/>
    <w:rsid w:val="007359CC"/>
    <w:rsid w:val="00735A6E"/>
    <w:rsid w:val="007367F6"/>
    <w:rsid w:val="00737B93"/>
    <w:rsid w:val="00737C85"/>
    <w:rsid w:val="00740B8D"/>
    <w:rsid w:val="007413BB"/>
    <w:rsid w:val="0074315C"/>
    <w:rsid w:val="00745BF0"/>
    <w:rsid w:val="00747E50"/>
    <w:rsid w:val="00750782"/>
    <w:rsid w:val="007615FE"/>
    <w:rsid w:val="0076335E"/>
    <w:rsid w:val="0076655C"/>
    <w:rsid w:val="00766E53"/>
    <w:rsid w:val="00772E55"/>
    <w:rsid w:val="007739F1"/>
    <w:rsid w:val="007742DC"/>
    <w:rsid w:val="00781DAC"/>
    <w:rsid w:val="007859F3"/>
    <w:rsid w:val="00785B28"/>
    <w:rsid w:val="00787226"/>
    <w:rsid w:val="00791437"/>
    <w:rsid w:val="00791AAE"/>
    <w:rsid w:val="007A0B91"/>
    <w:rsid w:val="007A2866"/>
    <w:rsid w:val="007A3B17"/>
    <w:rsid w:val="007A7DDC"/>
    <w:rsid w:val="007B01DB"/>
    <w:rsid w:val="007B0C2C"/>
    <w:rsid w:val="007B18DF"/>
    <w:rsid w:val="007B278E"/>
    <w:rsid w:val="007C0DE5"/>
    <w:rsid w:val="007C160C"/>
    <w:rsid w:val="007C365E"/>
    <w:rsid w:val="007C5C23"/>
    <w:rsid w:val="007D3988"/>
    <w:rsid w:val="007E1C6F"/>
    <w:rsid w:val="007E2A26"/>
    <w:rsid w:val="007E4CEC"/>
    <w:rsid w:val="007F2348"/>
    <w:rsid w:val="00801432"/>
    <w:rsid w:val="00803F07"/>
    <w:rsid w:val="008042E9"/>
    <w:rsid w:val="0080749A"/>
    <w:rsid w:val="00810F45"/>
    <w:rsid w:val="0081117E"/>
    <w:rsid w:val="0081127D"/>
    <w:rsid w:val="00820AC7"/>
    <w:rsid w:val="00821FB8"/>
    <w:rsid w:val="00822ACD"/>
    <w:rsid w:val="00825C6E"/>
    <w:rsid w:val="00831DB8"/>
    <w:rsid w:val="008375AA"/>
    <w:rsid w:val="00840B10"/>
    <w:rsid w:val="0084453C"/>
    <w:rsid w:val="008512F7"/>
    <w:rsid w:val="00855C66"/>
    <w:rsid w:val="008562BD"/>
    <w:rsid w:val="00860ED9"/>
    <w:rsid w:val="00862F3C"/>
    <w:rsid w:val="00864603"/>
    <w:rsid w:val="00871EE4"/>
    <w:rsid w:val="00880096"/>
    <w:rsid w:val="00881EC3"/>
    <w:rsid w:val="00884D1C"/>
    <w:rsid w:val="008942B1"/>
    <w:rsid w:val="00896566"/>
    <w:rsid w:val="008A286C"/>
    <w:rsid w:val="008A2992"/>
    <w:rsid w:val="008B11E8"/>
    <w:rsid w:val="008B293F"/>
    <w:rsid w:val="008B593E"/>
    <w:rsid w:val="008B7371"/>
    <w:rsid w:val="008B7B7A"/>
    <w:rsid w:val="008C247C"/>
    <w:rsid w:val="008D10B0"/>
    <w:rsid w:val="008D11F4"/>
    <w:rsid w:val="008D3DDB"/>
    <w:rsid w:val="008E0377"/>
    <w:rsid w:val="008E20AD"/>
    <w:rsid w:val="008E78E1"/>
    <w:rsid w:val="008F261E"/>
    <w:rsid w:val="008F2CDD"/>
    <w:rsid w:val="008F573F"/>
    <w:rsid w:val="008F70A7"/>
    <w:rsid w:val="008F7CC4"/>
    <w:rsid w:val="009034EC"/>
    <w:rsid w:val="00907C06"/>
    <w:rsid w:val="00912D16"/>
    <w:rsid w:val="00922286"/>
    <w:rsid w:val="00922669"/>
    <w:rsid w:val="00927573"/>
    <w:rsid w:val="0093067A"/>
    <w:rsid w:val="009347AE"/>
    <w:rsid w:val="00941C60"/>
    <w:rsid w:val="00941FD1"/>
    <w:rsid w:val="00944CB4"/>
    <w:rsid w:val="009467AC"/>
    <w:rsid w:val="009552C0"/>
    <w:rsid w:val="00955C90"/>
    <w:rsid w:val="00962C1E"/>
    <w:rsid w:val="00963593"/>
    <w:rsid w:val="00966D42"/>
    <w:rsid w:val="00970FD1"/>
    <w:rsid w:val="00971689"/>
    <w:rsid w:val="00973E90"/>
    <w:rsid w:val="00975B07"/>
    <w:rsid w:val="00977B75"/>
    <w:rsid w:val="00980B4A"/>
    <w:rsid w:val="009838F7"/>
    <w:rsid w:val="0098546B"/>
    <w:rsid w:val="009A5C48"/>
    <w:rsid w:val="009A6A14"/>
    <w:rsid w:val="009A76D0"/>
    <w:rsid w:val="009B04DA"/>
    <w:rsid w:val="009B3AF0"/>
    <w:rsid w:val="009D7DF2"/>
    <w:rsid w:val="009E3D0A"/>
    <w:rsid w:val="009E51FC"/>
    <w:rsid w:val="009F1D28"/>
    <w:rsid w:val="009F3678"/>
    <w:rsid w:val="009F4FE2"/>
    <w:rsid w:val="009F7618"/>
    <w:rsid w:val="00A0266C"/>
    <w:rsid w:val="00A04D23"/>
    <w:rsid w:val="00A06766"/>
    <w:rsid w:val="00A0771E"/>
    <w:rsid w:val="00A10491"/>
    <w:rsid w:val="00A10FD4"/>
    <w:rsid w:val="00A12CB8"/>
    <w:rsid w:val="00A130EB"/>
    <w:rsid w:val="00A13765"/>
    <w:rsid w:val="00A16C70"/>
    <w:rsid w:val="00A20236"/>
    <w:rsid w:val="00A21B12"/>
    <w:rsid w:val="00A232EB"/>
    <w:rsid w:val="00A23F80"/>
    <w:rsid w:val="00A25E7D"/>
    <w:rsid w:val="00A3024F"/>
    <w:rsid w:val="00A37A61"/>
    <w:rsid w:val="00A4234D"/>
    <w:rsid w:val="00A423BF"/>
    <w:rsid w:val="00A464C4"/>
    <w:rsid w:val="00A46E98"/>
    <w:rsid w:val="00A540D9"/>
    <w:rsid w:val="00A57083"/>
    <w:rsid w:val="00A6352B"/>
    <w:rsid w:val="00A6491A"/>
    <w:rsid w:val="00A701B5"/>
    <w:rsid w:val="00A714BB"/>
    <w:rsid w:val="00A7466F"/>
    <w:rsid w:val="00A77147"/>
    <w:rsid w:val="00A810FC"/>
    <w:rsid w:val="00A84706"/>
    <w:rsid w:val="00A84925"/>
    <w:rsid w:val="00A9198A"/>
    <w:rsid w:val="00A92A82"/>
    <w:rsid w:val="00A92D8F"/>
    <w:rsid w:val="00A955E7"/>
    <w:rsid w:val="00A97094"/>
    <w:rsid w:val="00AB2988"/>
    <w:rsid w:val="00AB4DB4"/>
    <w:rsid w:val="00AB5546"/>
    <w:rsid w:val="00AB5D12"/>
    <w:rsid w:val="00AB7999"/>
    <w:rsid w:val="00AC144C"/>
    <w:rsid w:val="00AC3EAA"/>
    <w:rsid w:val="00AD182A"/>
    <w:rsid w:val="00AD3292"/>
    <w:rsid w:val="00AD640A"/>
    <w:rsid w:val="00AD651C"/>
    <w:rsid w:val="00AD78FD"/>
    <w:rsid w:val="00AE49A8"/>
    <w:rsid w:val="00AE6397"/>
    <w:rsid w:val="00AE7AF0"/>
    <w:rsid w:val="00AF1F30"/>
    <w:rsid w:val="00AF5B39"/>
    <w:rsid w:val="00AF62B4"/>
    <w:rsid w:val="00B02023"/>
    <w:rsid w:val="00B044C6"/>
    <w:rsid w:val="00B1504F"/>
    <w:rsid w:val="00B316F4"/>
    <w:rsid w:val="00B31F0C"/>
    <w:rsid w:val="00B3365D"/>
    <w:rsid w:val="00B350A9"/>
    <w:rsid w:val="00B35A1F"/>
    <w:rsid w:val="00B500CA"/>
    <w:rsid w:val="00B53D92"/>
    <w:rsid w:val="00B61BAC"/>
    <w:rsid w:val="00B62087"/>
    <w:rsid w:val="00B620EE"/>
    <w:rsid w:val="00B72DE8"/>
    <w:rsid w:val="00B86314"/>
    <w:rsid w:val="00B868E6"/>
    <w:rsid w:val="00BA1C2E"/>
    <w:rsid w:val="00BA3305"/>
    <w:rsid w:val="00BA412F"/>
    <w:rsid w:val="00BA453E"/>
    <w:rsid w:val="00BB5DBA"/>
    <w:rsid w:val="00BB71DF"/>
    <w:rsid w:val="00BC0C28"/>
    <w:rsid w:val="00BC200B"/>
    <w:rsid w:val="00BC2969"/>
    <w:rsid w:val="00BC4756"/>
    <w:rsid w:val="00BC69A4"/>
    <w:rsid w:val="00BC6B6B"/>
    <w:rsid w:val="00BC6E74"/>
    <w:rsid w:val="00BD0A36"/>
    <w:rsid w:val="00BD1A6B"/>
    <w:rsid w:val="00BD1D49"/>
    <w:rsid w:val="00BE0680"/>
    <w:rsid w:val="00BE2DA6"/>
    <w:rsid w:val="00BE305F"/>
    <w:rsid w:val="00BE36E5"/>
    <w:rsid w:val="00BE62B5"/>
    <w:rsid w:val="00BE7BA3"/>
    <w:rsid w:val="00BF5682"/>
    <w:rsid w:val="00BF7B09"/>
    <w:rsid w:val="00C02439"/>
    <w:rsid w:val="00C054E1"/>
    <w:rsid w:val="00C063D2"/>
    <w:rsid w:val="00C0652D"/>
    <w:rsid w:val="00C1575B"/>
    <w:rsid w:val="00C20A95"/>
    <w:rsid w:val="00C20EBE"/>
    <w:rsid w:val="00C217FB"/>
    <w:rsid w:val="00C2692F"/>
    <w:rsid w:val="00C3207C"/>
    <w:rsid w:val="00C348AE"/>
    <w:rsid w:val="00C35C8E"/>
    <w:rsid w:val="00C400E1"/>
    <w:rsid w:val="00C40259"/>
    <w:rsid w:val="00C40B11"/>
    <w:rsid w:val="00C41187"/>
    <w:rsid w:val="00C43D6B"/>
    <w:rsid w:val="00C44B54"/>
    <w:rsid w:val="00C53BE7"/>
    <w:rsid w:val="00C551E0"/>
    <w:rsid w:val="00C57B43"/>
    <w:rsid w:val="00C63BC2"/>
    <w:rsid w:val="00C63C31"/>
    <w:rsid w:val="00C65134"/>
    <w:rsid w:val="00C7349D"/>
    <w:rsid w:val="00C757A0"/>
    <w:rsid w:val="00C760DE"/>
    <w:rsid w:val="00C82630"/>
    <w:rsid w:val="00C82AC0"/>
    <w:rsid w:val="00C85B4E"/>
    <w:rsid w:val="00C905BB"/>
    <w:rsid w:val="00C907F7"/>
    <w:rsid w:val="00C92729"/>
    <w:rsid w:val="00CA2103"/>
    <w:rsid w:val="00CA66C2"/>
    <w:rsid w:val="00CA78B8"/>
    <w:rsid w:val="00CB6B99"/>
    <w:rsid w:val="00CC68B0"/>
    <w:rsid w:val="00CD6438"/>
    <w:rsid w:val="00CE31B5"/>
    <w:rsid w:val="00CE4C87"/>
    <w:rsid w:val="00CE544A"/>
    <w:rsid w:val="00CF2861"/>
    <w:rsid w:val="00CF45A1"/>
    <w:rsid w:val="00D01114"/>
    <w:rsid w:val="00D0204E"/>
    <w:rsid w:val="00D04CB0"/>
    <w:rsid w:val="00D06B05"/>
    <w:rsid w:val="00D11141"/>
    <w:rsid w:val="00D11E1C"/>
    <w:rsid w:val="00D11F77"/>
    <w:rsid w:val="00D12FA3"/>
    <w:rsid w:val="00D160B0"/>
    <w:rsid w:val="00D177AB"/>
    <w:rsid w:val="00D17F94"/>
    <w:rsid w:val="00D20A1A"/>
    <w:rsid w:val="00D22274"/>
    <w:rsid w:val="00D223FC"/>
    <w:rsid w:val="00D23D3A"/>
    <w:rsid w:val="00D26D1E"/>
    <w:rsid w:val="00D27868"/>
    <w:rsid w:val="00D369C3"/>
    <w:rsid w:val="00D40ADD"/>
    <w:rsid w:val="00D460CD"/>
    <w:rsid w:val="00D474CF"/>
    <w:rsid w:val="00D50A9C"/>
    <w:rsid w:val="00D5547E"/>
    <w:rsid w:val="00D6166F"/>
    <w:rsid w:val="00D6495D"/>
    <w:rsid w:val="00D664D2"/>
    <w:rsid w:val="00D777C2"/>
    <w:rsid w:val="00D81CEF"/>
    <w:rsid w:val="00D843C3"/>
    <w:rsid w:val="00D869A1"/>
    <w:rsid w:val="00D91DD2"/>
    <w:rsid w:val="00D92117"/>
    <w:rsid w:val="00D92DD4"/>
    <w:rsid w:val="00D938EC"/>
    <w:rsid w:val="00D94D96"/>
    <w:rsid w:val="00D95D3D"/>
    <w:rsid w:val="00DA3E3D"/>
    <w:rsid w:val="00DA413F"/>
    <w:rsid w:val="00DA4584"/>
    <w:rsid w:val="00DA614B"/>
    <w:rsid w:val="00DB1B80"/>
    <w:rsid w:val="00DB27EA"/>
    <w:rsid w:val="00DB3586"/>
    <w:rsid w:val="00DB405A"/>
    <w:rsid w:val="00DB773D"/>
    <w:rsid w:val="00DC0F14"/>
    <w:rsid w:val="00DC2E03"/>
    <w:rsid w:val="00DC3060"/>
    <w:rsid w:val="00DC5214"/>
    <w:rsid w:val="00DC61EC"/>
    <w:rsid w:val="00DC6D17"/>
    <w:rsid w:val="00DD136C"/>
    <w:rsid w:val="00DD45BC"/>
    <w:rsid w:val="00DE0FB2"/>
    <w:rsid w:val="00DE12F5"/>
    <w:rsid w:val="00DF093E"/>
    <w:rsid w:val="00E01F42"/>
    <w:rsid w:val="00E13656"/>
    <w:rsid w:val="00E14D46"/>
    <w:rsid w:val="00E17C83"/>
    <w:rsid w:val="00E206D6"/>
    <w:rsid w:val="00E21747"/>
    <w:rsid w:val="00E256BE"/>
    <w:rsid w:val="00E30BB3"/>
    <w:rsid w:val="00E30EF2"/>
    <w:rsid w:val="00E3318B"/>
    <w:rsid w:val="00E3366E"/>
    <w:rsid w:val="00E339B7"/>
    <w:rsid w:val="00E34794"/>
    <w:rsid w:val="00E37600"/>
    <w:rsid w:val="00E52086"/>
    <w:rsid w:val="00E543A6"/>
    <w:rsid w:val="00E60479"/>
    <w:rsid w:val="00E61D73"/>
    <w:rsid w:val="00E66993"/>
    <w:rsid w:val="00E73684"/>
    <w:rsid w:val="00E818D6"/>
    <w:rsid w:val="00E87F7A"/>
    <w:rsid w:val="00E96BD7"/>
    <w:rsid w:val="00EA0DB1"/>
    <w:rsid w:val="00EA0EE9"/>
    <w:rsid w:val="00EA1336"/>
    <w:rsid w:val="00EA29B5"/>
    <w:rsid w:val="00EB38E3"/>
    <w:rsid w:val="00EB5425"/>
    <w:rsid w:val="00EB5B71"/>
    <w:rsid w:val="00EB7D34"/>
    <w:rsid w:val="00EB7F46"/>
    <w:rsid w:val="00EC6554"/>
    <w:rsid w:val="00EC7BFC"/>
    <w:rsid w:val="00ED52CA"/>
    <w:rsid w:val="00ED5860"/>
    <w:rsid w:val="00EE1528"/>
    <w:rsid w:val="00EE35C9"/>
    <w:rsid w:val="00EE36FD"/>
    <w:rsid w:val="00EE52AC"/>
    <w:rsid w:val="00EF43CD"/>
    <w:rsid w:val="00EF6A6D"/>
    <w:rsid w:val="00F01096"/>
    <w:rsid w:val="00F04261"/>
    <w:rsid w:val="00F05ECA"/>
    <w:rsid w:val="00F0637E"/>
    <w:rsid w:val="00F11964"/>
    <w:rsid w:val="00F12BCD"/>
    <w:rsid w:val="00F13EB5"/>
    <w:rsid w:val="00F15025"/>
    <w:rsid w:val="00F229B8"/>
    <w:rsid w:val="00F3088F"/>
    <w:rsid w:val="00F3566E"/>
    <w:rsid w:val="00F375FB"/>
    <w:rsid w:val="00F41AC1"/>
    <w:rsid w:val="00F4367A"/>
    <w:rsid w:val="00F445B1"/>
    <w:rsid w:val="00F45CD4"/>
    <w:rsid w:val="00F524C3"/>
    <w:rsid w:val="00F537FC"/>
    <w:rsid w:val="00F544BC"/>
    <w:rsid w:val="00F669C6"/>
    <w:rsid w:val="00F66DCA"/>
    <w:rsid w:val="00F73D39"/>
    <w:rsid w:val="00F74F53"/>
    <w:rsid w:val="00F7606D"/>
    <w:rsid w:val="00F81670"/>
    <w:rsid w:val="00F82024"/>
    <w:rsid w:val="00F8225B"/>
    <w:rsid w:val="00F8768C"/>
    <w:rsid w:val="00F937BE"/>
    <w:rsid w:val="00F95BC9"/>
    <w:rsid w:val="00F972F7"/>
    <w:rsid w:val="00F979EC"/>
    <w:rsid w:val="00FA165B"/>
    <w:rsid w:val="00FA3091"/>
    <w:rsid w:val="00FA624C"/>
    <w:rsid w:val="00FB2B61"/>
    <w:rsid w:val="00FB5DE4"/>
    <w:rsid w:val="00FB7646"/>
    <w:rsid w:val="00FB783B"/>
    <w:rsid w:val="00FB7F38"/>
    <w:rsid w:val="00FC14FA"/>
    <w:rsid w:val="00FC2362"/>
    <w:rsid w:val="00FC269F"/>
    <w:rsid w:val="00FC29CC"/>
    <w:rsid w:val="00FC2D4C"/>
    <w:rsid w:val="00FD0FAC"/>
    <w:rsid w:val="00FD0FE4"/>
    <w:rsid w:val="00FD1DFA"/>
    <w:rsid w:val="00FD2AD3"/>
    <w:rsid w:val="00FD48C9"/>
    <w:rsid w:val="00FD4966"/>
    <w:rsid w:val="00FE0854"/>
    <w:rsid w:val="00FE1DFA"/>
    <w:rsid w:val="00FE2377"/>
    <w:rsid w:val="00FE4EB1"/>
    <w:rsid w:val="00FE57DC"/>
    <w:rsid w:val="00FE7376"/>
    <w:rsid w:val="00FE7D80"/>
    <w:rsid w:val="00FF645C"/>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364E24"/>
  <w15:docId w15:val="{CE69FED1-D55B-4426-846D-9944FF5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324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78633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79598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0662067">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018582909">
      <w:bodyDiv w:val="1"/>
      <w:marLeft w:val="0"/>
      <w:marRight w:val="0"/>
      <w:marTop w:val="0"/>
      <w:marBottom w:val="0"/>
      <w:divBdr>
        <w:top w:val="none" w:sz="0" w:space="0" w:color="auto"/>
        <w:left w:val="none" w:sz="0" w:space="0" w:color="auto"/>
        <w:bottom w:val="none" w:sz="0" w:space="0" w:color="auto"/>
        <w:right w:val="none" w:sz="0" w:space="0" w:color="auto"/>
      </w:divBdr>
    </w:div>
    <w:div w:id="10671888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48667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4634847">
      <w:bodyDiv w:val="1"/>
      <w:marLeft w:val="0"/>
      <w:marRight w:val="0"/>
      <w:marTop w:val="0"/>
      <w:marBottom w:val="0"/>
      <w:divBdr>
        <w:top w:val="none" w:sz="0" w:space="0" w:color="auto"/>
        <w:left w:val="none" w:sz="0" w:space="0" w:color="auto"/>
        <w:bottom w:val="none" w:sz="0" w:space="0" w:color="auto"/>
        <w:right w:val="none" w:sz="0" w:space="0" w:color="auto"/>
      </w:divBdr>
    </w:div>
    <w:div w:id="1532570383">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1975795860">
      <w:bodyDiv w:val="1"/>
      <w:marLeft w:val="0"/>
      <w:marRight w:val="0"/>
      <w:marTop w:val="0"/>
      <w:marBottom w:val="0"/>
      <w:divBdr>
        <w:top w:val="none" w:sz="0" w:space="0" w:color="auto"/>
        <w:left w:val="none" w:sz="0" w:space="0" w:color="auto"/>
        <w:bottom w:val="none" w:sz="0" w:space="0" w:color="auto"/>
        <w:right w:val="none" w:sz="0" w:space="0" w:color="auto"/>
      </w:divBdr>
    </w:div>
    <w:div w:id="2027750457">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 w:id="2100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06CD-F623-4566-A9FB-2E291C46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C54A5F36</Template>
  <TotalTime>11</TotalTime>
  <Pages>4</Pages>
  <Words>854</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cphythian</dc:creator>
  <cp:lastModifiedBy>COURTNEY Alice</cp:lastModifiedBy>
  <cp:revision>4</cp:revision>
  <cp:lastPrinted>2019-08-28T11:12:00Z</cp:lastPrinted>
  <dcterms:created xsi:type="dcterms:W3CDTF">2023-06-09T11:28:00Z</dcterms:created>
  <dcterms:modified xsi:type="dcterms:W3CDTF">2023-06-12T12:43:00Z</dcterms:modified>
</cp:coreProperties>
</file>